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p>
    <w:p>
      <w:pPr>
        <w:jc w:val="center"/>
        <w:rPr>
          <w:b/>
          <w:bCs/>
          <w:sz w:val="36"/>
          <w:szCs w:val="36"/>
        </w:rPr>
      </w:pPr>
    </w:p>
    <w:p>
      <w:pPr>
        <w:jc w:val="center"/>
        <w:rPr>
          <w:b/>
          <w:bCs/>
          <w:sz w:val="36"/>
          <w:szCs w:val="36"/>
        </w:rPr>
      </w:pPr>
      <w:r>
        <w:rPr>
          <w:rFonts w:hint="eastAsia"/>
          <w:b/>
          <w:bCs/>
          <w:sz w:val="36"/>
          <w:szCs w:val="36"/>
        </w:rPr>
        <w:t>花都中轴线八地块一建设项目可售住宅物业渠道带客服务（2025年度）</w:t>
      </w:r>
    </w:p>
    <w:p>
      <w:pPr>
        <w:pStyle w:val="7"/>
        <w:ind w:firstLine="320"/>
        <w:jc w:val="center"/>
        <w:rPr>
          <w:rStyle w:val="10"/>
          <w:i w:val="0"/>
          <w:sz w:val="32"/>
          <w:szCs w:val="32"/>
        </w:rPr>
      </w:pPr>
      <w:r>
        <w:rPr>
          <w:sz w:val="32"/>
          <w:szCs w:val="32"/>
        </w:rPr>
        <w:t>（项目编号：CZ202</w:t>
      </w:r>
      <w:r>
        <w:rPr>
          <w:rFonts w:hint="eastAsia"/>
          <w:sz w:val="32"/>
          <w:szCs w:val="32"/>
        </w:rPr>
        <w:t>5</w:t>
      </w:r>
      <w:r>
        <w:rPr>
          <w:sz w:val="32"/>
          <w:szCs w:val="32"/>
        </w:rPr>
        <w:t>-QDFW-</w:t>
      </w:r>
      <w:r>
        <w:rPr>
          <w:rFonts w:hint="eastAsia"/>
          <w:sz w:val="32"/>
          <w:szCs w:val="32"/>
        </w:rPr>
        <w:t>0215</w:t>
      </w:r>
      <w:r>
        <w:rPr>
          <w:sz w:val="32"/>
          <w:szCs w:val="32"/>
        </w:rPr>
        <w:t>）</w:t>
      </w:r>
    </w:p>
    <w:p>
      <w:pPr>
        <w:rPr>
          <w:rStyle w:val="10"/>
          <w:b/>
          <w:bCs/>
          <w:i w:val="0"/>
          <w:sz w:val="84"/>
          <w:szCs w:val="20"/>
        </w:rPr>
      </w:pPr>
    </w:p>
    <w:p>
      <w:pPr>
        <w:pStyle w:val="13"/>
        <w:rPr>
          <w:color w:val="auto"/>
        </w:rPr>
      </w:pPr>
    </w:p>
    <w:p>
      <w:pPr>
        <w:pStyle w:val="13"/>
        <w:rPr>
          <w:color w:val="auto"/>
        </w:rPr>
      </w:pPr>
    </w:p>
    <w:p>
      <w:pPr>
        <w:jc w:val="center"/>
        <w:rPr>
          <w:rStyle w:val="10"/>
          <w:b/>
          <w:bCs/>
          <w:i w:val="0"/>
          <w:sz w:val="52"/>
          <w:szCs w:val="52"/>
        </w:rPr>
      </w:pPr>
    </w:p>
    <w:p>
      <w:pPr>
        <w:jc w:val="center"/>
        <w:rPr>
          <w:b/>
          <w:bCs/>
          <w:sz w:val="84"/>
          <w:szCs w:val="84"/>
        </w:rPr>
      </w:pPr>
      <w:r>
        <w:rPr>
          <w:rStyle w:val="10"/>
          <w:b/>
          <w:bCs/>
          <w:i w:val="0"/>
          <w:sz w:val="84"/>
          <w:szCs w:val="84"/>
        </w:rPr>
        <w:t>招标</w:t>
      </w:r>
      <w:r>
        <w:rPr>
          <w:rStyle w:val="10"/>
          <w:rFonts w:hint="eastAsia"/>
          <w:b/>
          <w:bCs/>
          <w:i w:val="0"/>
          <w:sz w:val="84"/>
          <w:szCs w:val="84"/>
        </w:rPr>
        <w:t>公告</w:t>
      </w:r>
    </w:p>
    <w:p>
      <w:pPr>
        <w:rPr>
          <w:b/>
          <w:bCs/>
          <w:sz w:val="32"/>
        </w:rPr>
      </w:pPr>
    </w:p>
    <w:p>
      <w:pPr>
        <w:rPr>
          <w:b/>
          <w:bCs/>
          <w:sz w:val="32"/>
        </w:rPr>
      </w:pPr>
    </w:p>
    <w:p>
      <w:pPr>
        <w:pStyle w:val="13"/>
        <w:rPr>
          <w:color w:val="auto"/>
        </w:rPr>
      </w:pPr>
    </w:p>
    <w:p>
      <w:pPr>
        <w:pStyle w:val="13"/>
        <w:rPr>
          <w:color w:val="auto"/>
        </w:rPr>
      </w:pPr>
    </w:p>
    <w:p>
      <w:pPr>
        <w:pStyle w:val="3"/>
        <w:rPr>
          <w:rFonts w:ascii="Times New Roman"/>
          <w:b/>
          <w:bCs/>
          <w:sz w:val="32"/>
        </w:rPr>
      </w:pPr>
    </w:p>
    <w:p/>
    <w:p>
      <w:pPr>
        <w:ind w:firstLine="3036" w:firstLineChars="945"/>
        <w:rPr>
          <w:b/>
          <w:bCs/>
          <w:sz w:val="32"/>
        </w:rPr>
      </w:pPr>
    </w:p>
    <w:p>
      <w:pPr>
        <w:snapToGrid w:val="0"/>
        <w:spacing w:line="360" w:lineRule="auto"/>
        <w:ind w:firstLine="1285" w:firstLineChars="400"/>
        <w:rPr>
          <w:b/>
          <w:bCs/>
          <w:sz w:val="32"/>
          <w:szCs w:val="32"/>
        </w:rPr>
      </w:pPr>
    </w:p>
    <w:p>
      <w:pPr>
        <w:snapToGrid w:val="0"/>
        <w:spacing w:line="360" w:lineRule="auto"/>
        <w:ind w:firstLine="964" w:firstLineChars="300"/>
        <w:rPr>
          <w:b/>
          <w:bCs/>
          <w:sz w:val="32"/>
          <w:szCs w:val="32"/>
          <w:u w:val="single"/>
        </w:rPr>
      </w:pPr>
      <w:r>
        <w:rPr>
          <w:b/>
          <w:bCs/>
          <w:sz w:val="32"/>
          <w:szCs w:val="32"/>
        </w:rPr>
        <w:t>招标单位：</w:t>
      </w:r>
      <w:r>
        <w:rPr>
          <w:rFonts w:hint="eastAsia"/>
          <w:b/>
          <w:bCs/>
          <w:sz w:val="32"/>
          <w:szCs w:val="32"/>
          <w:u w:val="single"/>
        </w:rPr>
        <w:t>广州市花都区恒裕房地产开发有限公司</w:t>
      </w:r>
    </w:p>
    <w:p>
      <w:pPr>
        <w:snapToGrid w:val="0"/>
        <w:spacing w:line="360" w:lineRule="auto"/>
        <w:ind w:firstLine="964" w:firstLineChars="300"/>
        <w:rPr>
          <w:b/>
          <w:bCs/>
          <w:sz w:val="32"/>
          <w:szCs w:val="32"/>
          <w:u w:val="single"/>
        </w:rPr>
      </w:pPr>
      <w:r>
        <w:rPr>
          <w:b/>
          <w:bCs/>
          <w:sz w:val="32"/>
          <w:szCs w:val="32"/>
        </w:rPr>
        <w:t>招标代理机构：</w:t>
      </w:r>
      <w:r>
        <w:rPr>
          <w:rFonts w:hint="eastAsia"/>
          <w:b/>
          <w:bCs/>
          <w:sz w:val="32"/>
          <w:szCs w:val="32"/>
          <w:u w:val="single"/>
        </w:rPr>
        <w:t>成致项目管理有限公司</w:t>
      </w:r>
    </w:p>
    <w:p>
      <w:pPr>
        <w:snapToGrid w:val="0"/>
        <w:spacing w:line="360" w:lineRule="auto"/>
        <w:ind w:firstLine="964" w:firstLineChars="300"/>
        <w:rPr>
          <w:b/>
          <w:bCs/>
          <w:sz w:val="32"/>
          <w:szCs w:val="32"/>
        </w:rPr>
      </w:pPr>
      <w:r>
        <w:rPr>
          <w:b/>
          <w:bCs/>
          <w:sz w:val="32"/>
          <w:szCs w:val="32"/>
        </w:rPr>
        <w:t>日    期：</w:t>
      </w:r>
      <w:r>
        <w:rPr>
          <w:b/>
          <w:bCs/>
          <w:sz w:val="32"/>
          <w:szCs w:val="32"/>
          <w:u w:val="single"/>
        </w:rPr>
        <w:t>202</w:t>
      </w:r>
      <w:r>
        <w:rPr>
          <w:rFonts w:hint="eastAsia"/>
          <w:b/>
          <w:bCs/>
          <w:sz w:val="32"/>
          <w:szCs w:val="32"/>
          <w:u w:val="single"/>
        </w:rPr>
        <w:t>5</w:t>
      </w:r>
      <w:r>
        <w:rPr>
          <w:b/>
          <w:bCs/>
          <w:sz w:val="32"/>
          <w:szCs w:val="32"/>
        </w:rPr>
        <w:t>年</w:t>
      </w:r>
      <w:r>
        <w:rPr>
          <w:rFonts w:hint="eastAsia"/>
          <w:b/>
          <w:bCs/>
          <w:sz w:val="32"/>
          <w:szCs w:val="32"/>
          <w:u w:val="single"/>
        </w:rPr>
        <w:t>2</w:t>
      </w:r>
      <w:r>
        <w:rPr>
          <w:b/>
          <w:bCs/>
          <w:sz w:val="32"/>
          <w:szCs w:val="32"/>
        </w:rPr>
        <w:t>月</w:t>
      </w:r>
    </w:p>
    <w:p>
      <w:pPr>
        <w:widowControl/>
        <w:jc w:val="left"/>
        <w:rPr>
          <w:b/>
          <w:bCs/>
          <w:sz w:val="32"/>
          <w:szCs w:val="32"/>
        </w:rPr>
      </w:pPr>
      <w:r>
        <w:rPr>
          <w:b/>
          <w:bCs/>
          <w:sz w:val="32"/>
          <w:szCs w:val="32"/>
        </w:rPr>
        <w:br w:type="page"/>
      </w:r>
    </w:p>
    <w:p>
      <w:pPr>
        <w:snapToGrid w:val="0"/>
        <w:spacing w:line="360" w:lineRule="auto"/>
        <w:ind w:firstLine="964" w:firstLineChars="300"/>
        <w:rPr>
          <w:b/>
          <w:bCs/>
          <w:sz w:val="32"/>
          <w:szCs w:val="32"/>
        </w:rPr>
      </w:pPr>
    </w:p>
    <w:p>
      <w:pPr>
        <w:spacing w:line="336" w:lineRule="auto"/>
        <w:ind w:left="1" w:leftChars="-67" w:hanging="142" w:hangingChars="47"/>
        <w:jc w:val="center"/>
        <w:rPr>
          <w:b/>
          <w:sz w:val="30"/>
          <w:szCs w:val="30"/>
        </w:rPr>
      </w:pPr>
    </w:p>
    <w:p>
      <w:pPr>
        <w:spacing w:line="336" w:lineRule="auto"/>
        <w:ind w:left="1" w:leftChars="-67" w:hanging="142" w:hangingChars="47"/>
        <w:jc w:val="center"/>
        <w:rPr>
          <w:rFonts w:hint="eastAsia"/>
          <w:b/>
          <w:sz w:val="30"/>
          <w:szCs w:val="30"/>
        </w:rPr>
        <w:sectPr>
          <w:pgSz w:w="11906" w:h="16838"/>
          <w:pgMar w:top="1440" w:right="1416" w:bottom="1440" w:left="1800" w:header="851" w:footer="992" w:gutter="0"/>
          <w:pgNumType w:fmt="decimal"/>
          <w:cols w:space="425" w:num="1"/>
          <w:docGrid w:type="lines" w:linePitch="312" w:charSpace="0"/>
        </w:sectPr>
      </w:pPr>
    </w:p>
    <w:p>
      <w:pPr>
        <w:spacing w:line="336" w:lineRule="auto"/>
        <w:ind w:left="1" w:leftChars="-67" w:hanging="142" w:hangingChars="47"/>
        <w:jc w:val="center"/>
        <w:rPr>
          <w:b/>
          <w:sz w:val="30"/>
          <w:szCs w:val="30"/>
        </w:rPr>
      </w:pPr>
      <w:r>
        <w:rPr>
          <w:rFonts w:hint="eastAsia"/>
          <w:b/>
          <w:sz w:val="30"/>
          <w:szCs w:val="30"/>
        </w:rPr>
        <w:t>花都中轴线八地块一建设项目可售住宅物业渠道带客服务（2025年度）</w:t>
      </w:r>
    </w:p>
    <w:p>
      <w:pPr>
        <w:spacing w:line="336" w:lineRule="auto"/>
        <w:ind w:left="1" w:leftChars="-67" w:hanging="142" w:hangingChars="47"/>
        <w:jc w:val="center"/>
        <w:rPr>
          <w:b/>
          <w:sz w:val="30"/>
          <w:szCs w:val="30"/>
        </w:rPr>
      </w:pPr>
      <w:r>
        <w:rPr>
          <w:b/>
          <w:sz w:val="30"/>
          <w:szCs w:val="30"/>
        </w:rPr>
        <w:t>招标公告</w:t>
      </w:r>
    </w:p>
    <w:p>
      <w:pPr>
        <w:spacing w:line="336" w:lineRule="auto"/>
        <w:ind w:left="1" w:leftChars="-67" w:hanging="142" w:hangingChars="47"/>
        <w:jc w:val="center"/>
        <w:rPr>
          <w:b/>
          <w:sz w:val="30"/>
          <w:szCs w:val="30"/>
        </w:rPr>
      </w:pPr>
    </w:p>
    <w:p>
      <w:pPr>
        <w:spacing w:line="336" w:lineRule="auto"/>
        <w:rPr>
          <w:b/>
          <w:bCs/>
          <w:sz w:val="24"/>
          <w:szCs w:val="24"/>
        </w:rPr>
      </w:pPr>
      <w:bookmarkStart w:id="0" w:name="_Toc492300546"/>
      <w:r>
        <w:rPr>
          <w:b/>
          <w:bCs/>
          <w:sz w:val="24"/>
          <w:szCs w:val="24"/>
        </w:rPr>
        <w:t>1. 招标条件</w:t>
      </w:r>
      <w:bookmarkEnd w:id="0"/>
    </w:p>
    <w:p>
      <w:pPr>
        <w:spacing w:line="336" w:lineRule="auto"/>
        <w:ind w:firstLine="480" w:firstLineChars="200"/>
        <w:rPr>
          <w:sz w:val="24"/>
          <w:szCs w:val="24"/>
        </w:rPr>
      </w:pPr>
      <w:r>
        <w:rPr>
          <w:sz w:val="24"/>
          <w:szCs w:val="24"/>
        </w:rPr>
        <w:t>本招标项目</w:t>
      </w:r>
      <w:r>
        <w:rPr>
          <w:rFonts w:hint="eastAsia"/>
          <w:sz w:val="24"/>
          <w:szCs w:val="24"/>
          <w:u w:val="single"/>
        </w:rPr>
        <w:t>花都中轴线八地块一建设项目可售住宅物业渠道带客服务（2025年度）</w:t>
      </w:r>
      <w:r>
        <w:rPr>
          <w:sz w:val="24"/>
          <w:szCs w:val="24"/>
        </w:rPr>
        <w:t>已批准建设，项目业主为</w:t>
      </w:r>
      <w:r>
        <w:rPr>
          <w:rFonts w:hint="eastAsia"/>
          <w:sz w:val="24"/>
          <w:szCs w:val="24"/>
          <w:u w:val="single"/>
        </w:rPr>
        <w:t>广州市花都区恒裕房地产开发有限公司</w:t>
      </w:r>
      <w:r>
        <w:rPr>
          <w:sz w:val="24"/>
          <w:szCs w:val="24"/>
        </w:rPr>
        <w:t>，建设资金来自</w:t>
      </w:r>
      <w:r>
        <w:rPr>
          <w:sz w:val="24"/>
          <w:szCs w:val="24"/>
          <w:u w:val="single"/>
        </w:rPr>
        <w:t>企业自筹</w:t>
      </w:r>
      <w:r>
        <w:rPr>
          <w:sz w:val="24"/>
          <w:szCs w:val="24"/>
        </w:rPr>
        <w:t>，出资比例为</w:t>
      </w:r>
      <w:r>
        <w:rPr>
          <w:sz w:val="24"/>
          <w:szCs w:val="24"/>
          <w:u w:val="single"/>
        </w:rPr>
        <w:t>100%</w:t>
      </w:r>
      <w:r>
        <w:rPr>
          <w:sz w:val="24"/>
          <w:szCs w:val="24"/>
        </w:rPr>
        <w:t>，招标人为</w:t>
      </w:r>
      <w:r>
        <w:rPr>
          <w:rFonts w:hint="eastAsia"/>
          <w:sz w:val="24"/>
          <w:szCs w:val="24"/>
          <w:u w:val="single"/>
        </w:rPr>
        <w:t>广州市花都区恒裕房地产开发有限公司</w:t>
      </w:r>
      <w:r>
        <w:rPr>
          <w:sz w:val="24"/>
          <w:szCs w:val="24"/>
        </w:rPr>
        <w:t>。项目已具备招标条件，现对该项目的</w:t>
      </w:r>
      <w:r>
        <w:rPr>
          <w:rFonts w:hint="eastAsia"/>
          <w:sz w:val="24"/>
          <w:szCs w:val="24"/>
          <w:u w:val="single"/>
        </w:rPr>
        <w:t>营销渠道带客服务</w:t>
      </w:r>
      <w:r>
        <w:rPr>
          <w:sz w:val="24"/>
          <w:szCs w:val="24"/>
        </w:rPr>
        <w:t>进行公开招标。</w:t>
      </w:r>
    </w:p>
    <w:p>
      <w:pPr>
        <w:spacing w:line="336" w:lineRule="auto"/>
        <w:rPr>
          <w:b/>
          <w:bCs/>
          <w:sz w:val="24"/>
          <w:szCs w:val="24"/>
        </w:rPr>
      </w:pPr>
      <w:bookmarkStart w:id="1" w:name="_Toc492300547"/>
      <w:r>
        <w:rPr>
          <w:b/>
          <w:bCs/>
          <w:sz w:val="24"/>
          <w:szCs w:val="24"/>
        </w:rPr>
        <w:t>2. 项目概况与招标范围</w:t>
      </w:r>
      <w:bookmarkEnd w:id="1"/>
    </w:p>
    <w:p>
      <w:pPr>
        <w:spacing w:line="336" w:lineRule="auto"/>
        <w:ind w:firstLine="480" w:firstLineChars="200"/>
        <w:rPr>
          <w:sz w:val="24"/>
          <w:szCs w:val="24"/>
        </w:rPr>
      </w:pPr>
      <w:r>
        <w:rPr>
          <w:sz w:val="24"/>
          <w:szCs w:val="24"/>
        </w:rPr>
        <w:t>2.1 招标项目概况</w:t>
      </w:r>
    </w:p>
    <w:p>
      <w:pPr>
        <w:spacing w:line="336" w:lineRule="auto"/>
        <w:ind w:firstLine="480" w:firstLineChars="200"/>
        <w:rPr>
          <w:sz w:val="24"/>
          <w:szCs w:val="24"/>
        </w:rPr>
      </w:pPr>
      <w:r>
        <w:rPr>
          <w:sz w:val="24"/>
          <w:szCs w:val="24"/>
        </w:rPr>
        <w:t>2.1.1招标项目名称：</w:t>
      </w:r>
      <w:r>
        <w:rPr>
          <w:rFonts w:hint="eastAsia"/>
          <w:sz w:val="24"/>
          <w:szCs w:val="24"/>
          <w:u w:val="single"/>
        </w:rPr>
        <w:t>花都中轴线八地块一建设项目可售住宅物业渠道带客服务（2025年度）</w:t>
      </w:r>
      <w:r>
        <w:rPr>
          <w:sz w:val="24"/>
          <w:szCs w:val="24"/>
        </w:rPr>
        <w:t xml:space="preserve">                              </w:t>
      </w:r>
    </w:p>
    <w:p>
      <w:pPr>
        <w:spacing w:line="336" w:lineRule="auto"/>
        <w:ind w:firstLine="480" w:firstLineChars="200"/>
        <w:rPr>
          <w:sz w:val="24"/>
          <w:szCs w:val="24"/>
        </w:rPr>
      </w:pPr>
      <w:r>
        <w:rPr>
          <w:sz w:val="24"/>
          <w:szCs w:val="24"/>
        </w:rPr>
        <w:t>2.1.2工程建设规模：</w:t>
      </w:r>
      <w:r>
        <w:rPr>
          <w:rFonts w:hint="eastAsia"/>
          <w:sz w:val="24"/>
          <w:szCs w:val="24"/>
          <w:u w:val="single"/>
        </w:rPr>
        <w:t>花都中轴线八地块一建设项目位于广州市花都区花都大道以北、莲山路以东，占地面积约40657平米，总建筑面积约146825平米。</w:t>
      </w:r>
      <w:r>
        <w:rPr>
          <w:sz w:val="24"/>
          <w:szCs w:val="24"/>
          <w:u w:val="single"/>
        </w:rPr>
        <w:t xml:space="preserve"> </w:t>
      </w:r>
      <w:r>
        <w:rPr>
          <w:sz w:val="24"/>
          <w:szCs w:val="24"/>
        </w:rPr>
        <w:t xml:space="preserve">                  </w:t>
      </w:r>
    </w:p>
    <w:p>
      <w:pPr>
        <w:widowControl/>
        <w:spacing w:line="336" w:lineRule="auto"/>
        <w:ind w:firstLine="480" w:firstLineChars="200"/>
        <w:jc w:val="left"/>
        <w:rPr>
          <w:sz w:val="24"/>
          <w:szCs w:val="24"/>
        </w:rPr>
      </w:pPr>
      <w:r>
        <w:rPr>
          <w:sz w:val="24"/>
          <w:szCs w:val="24"/>
        </w:rPr>
        <w:t>2.1.3工程建设地点：</w:t>
      </w:r>
      <w:r>
        <w:rPr>
          <w:rFonts w:hint="eastAsia"/>
          <w:kern w:val="0"/>
          <w:sz w:val="24"/>
          <w:szCs w:val="24"/>
          <w:u w:val="single"/>
          <w:shd w:val="clear" w:color="auto" w:fill="FFFFFF"/>
          <w:lang w:bidi="ar"/>
        </w:rPr>
        <w:t xml:space="preserve">广州市花都区花山镇花都大道以北、莲山路以东  </w:t>
      </w:r>
      <w:r>
        <w:rPr>
          <w:sz w:val="24"/>
          <w:szCs w:val="24"/>
        </w:rPr>
        <w:t xml:space="preserve">                                                               </w:t>
      </w:r>
    </w:p>
    <w:p>
      <w:pPr>
        <w:spacing w:line="336" w:lineRule="auto"/>
        <w:ind w:firstLine="480" w:firstLineChars="200"/>
        <w:rPr>
          <w:sz w:val="24"/>
          <w:szCs w:val="24"/>
        </w:rPr>
      </w:pPr>
      <w:r>
        <w:rPr>
          <w:sz w:val="24"/>
          <w:szCs w:val="24"/>
        </w:rPr>
        <w:t>2.2招标范围</w:t>
      </w:r>
      <w:r>
        <w:rPr>
          <w:rFonts w:hint="eastAsia"/>
          <w:sz w:val="24"/>
          <w:szCs w:val="24"/>
        </w:rPr>
        <w:t>：花都中轴线八地块一建设项目可售住宅。</w:t>
      </w:r>
    </w:p>
    <w:p>
      <w:pPr>
        <w:spacing w:line="336" w:lineRule="auto"/>
        <w:ind w:firstLine="480" w:firstLineChars="200"/>
        <w:rPr>
          <w:sz w:val="24"/>
          <w:szCs w:val="24"/>
        </w:rPr>
      </w:pPr>
      <w:r>
        <w:rPr>
          <w:sz w:val="24"/>
          <w:szCs w:val="24"/>
        </w:rPr>
        <w:t>2.2.1标段划分：本项目设</w:t>
      </w:r>
      <w:r>
        <w:rPr>
          <w:sz w:val="24"/>
          <w:szCs w:val="24"/>
          <w:u w:val="single"/>
        </w:rPr>
        <w:t>1</w:t>
      </w:r>
      <w:r>
        <w:rPr>
          <w:sz w:val="24"/>
          <w:szCs w:val="24"/>
        </w:rPr>
        <w:t xml:space="preserve">个标段。                          </w:t>
      </w:r>
    </w:p>
    <w:p>
      <w:pPr>
        <w:spacing w:line="336" w:lineRule="auto"/>
        <w:ind w:firstLine="480" w:firstLineChars="200"/>
        <w:rPr>
          <w:sz w:val="24"/>
          <w:szCs w:val="24"/>
        </w:rPr>
      </w:pPr>
      <w:r>
        <w:rPr>
          <w:sz w:val="24"/>
          <w:szCs w:val="24"/>
        </w:rPr>
        <w:t>2.2.2招标内容：</w:t>
      </w:r>
    </w:p>
    <w:p>
      <w:pPr>
        <w:spacing w:line="336" w:lineRule="auto"/>
        <w:ind w:firstLine="480" w:firstLineChars="200"/>
        <w:rPr>
          <w:sz w:val="24"/>
          <w:szCs w:val="24"/>
        </w:rPr>
      </w:pPr>
      <w:r>
        <w:rPr>
          <w:rFonts w:hint="eastAsia"/>
          <w:sz w:val="24"/>
          <w:szCs w:val="24"/>
        </w:rPr>
        <w:t>根据本项目的实际需求，本次招标拟择优选取综合得分前四名进入入围单位名单，在委托期内提供可售住宅物业渠道带客服务。委托期内，受甲方委托作为非独家场外销售代理该项目经甲方确认的可售住宅产品。营销渠道带客服务公司可利用自有销售团队及资源，向客户推介销售甲方可供销售的单位。委托期间甲方有权同时委托多家营销渠道带客服务公司共同参与该项目住宅产品的销售工作。服务内容包括但不限于以下内容：</w:t>
      </w:r>
    </w:p>
    <w:p>
      <w:pPr>
        <w:spacing w:line="336" w:lineRule="auto"/>
        <w:ind w:firstLine="480" w:firstLineChars="200"/>
        <w:rPr>
          <w:sz w:val="24"/>
          <w:szCs w:val="24"/>
        </w:rPr>
      </w:pPr>
      <w:r>
        <w:rPr>
          <w:rFonts w:hint="eastAsia"/>
          <w:sz w:val="24"/>
          <w:szCs w:val="24"/>
        </w:rPr>
        <w:t>1.为甲方提供营销带客服务。</w:t>
      </w:r>
    </w:p>
    <w:p>
      <w:pPr>
        <w:spacing w:line="336" w:lineRule="auto"/>
        <w:ind w:firstLine="480" w:firstLineChars="200"/>
        <w:rPr>
          <w:sz w:val="24"/>
          <w:szCs w:val="24"/>
        </w:rPr>
      </w:pPr>
      <w:r>
        <w:rPr>
          <w:rFonts w:hint="eastAsia"/>
          <w:sz w:val="24"/>
          <w:szCs w:val="24"/>
        </w:rPr>
        <w:t>2.负责统筹管理辖区内（花都区域及广州其他区域）的中介门店。</w:t>
      </w:r>
    </w:p>
    <w:p>
      <w:pPr>
        <w:spacing w:line="336" w:lineRule="auto"/>
        <w:ind w:firstLine="480" w:firstLineChars="200"/>
        <w:rPr>
          <w:sz w:val="24"/>
          <w:szCs w:val="24"/>
        </w:rPr>
      </w:pPr>
      <w:r>
        <w:rPr>
          <w:rFonts w:hint="eastAsia"/>
          <w:sz w:val="24"/>
          <w:szCs w:val="24"/>
        </w:rPr>
        <w:t>3.以平台为媒介发动辖区内的中介门店，结合营销相关节点，组织集中看盘。</w:t>
      </w:r>
    </w:p>
    <w:p>
      <w:pPr>
        <w:spacing w:line="336" w:lineRule="auto"/>
        <w:ind w:firstLine="480" w:firstLineChars="200"/>
        <w:rPr>
          <w:sz w:val="24"/>
          <w:szCs w:val="24"/>
        </w:rPr>
      </w:pPr>
      <w:r>
        <w:rPr>
          <w:rFonts w:hint="eastAsia"/>
          <w:sz w:val="24"/>
          <w:szCs w:val="24"/>
        </w:rPr>
        <w:t>4.根据甲方需要，协助甲方进行辖区内的中介门店拓展、培训、项目讲解，营销道具派发及摆放等。</w:t>
      </w:r>
    </w:p>
    <w:p>
      <w:pPr>
        <w:spacing w:line="336" w:lineRule="auto"/>
        <w:ind w:firstLine="480" w:firstLineChars="200"/>
        <w:rPr>
          <w:sz w:val="24"/>
          <w:szCs w:val="24"/>
        </w:rPr>
      </w:pPr>
      <w:r>
        <w:rPr>
          <w:rFonts w:hint="eastAsia"/>
          <w:sz w:val="24"/>
          <w:szCs w:val="24"/>
        </w:rPr>
        <w:t>5.协助提供阶段性的营销建议，包括但不限于：销售策略、推广策略、中介发动策略等。</w:t>
      </w:r>
    </w:p>
    <w:p>
      <w:pPr>
        <w:spacing w:line="336" w:lineRule="auto"/>
        <w:ind w:firstLine="480" w:firstLineChars="200"/>
        <w:rPr>
          <w:sz w:val="24"/>
          <w:szCs w:val="24"/>
        </w:rPr>
      </w:pPr>
      <w:r>
        <w:rPr>
          <w:rFonts w:hint="eastAsia"/>
          <w:sz w:val="24"/>
          <w:szCs w:val="24"/>
        </w:rPr>
        <w:t>6.负责维系辖区内的门店关系，具有良好协调及舆情事件处理能力。</w:t>
      </w:r>
    </w:p>
    <w:p>
      <w:pPr>
        <w:spacing w:line="336" w:lineRule="auto"/>
        <w:ind w:firstLine="480" w:firstLineChars="200"/>
        <w:rPr>
          <w:sz w:val="24"/>
          <w:szCs w:val="24"/>
        </w:rPr>
      </w:pPr>
      <w:r>
        <w:rPr>
          <w:rFonts w:hint="eastAsia"/>
          <w:sz w:val="24"/>
          <w:szCs w:val="24"/>
        </w:rPr>
        <w:t>7.及时并积极配合甲方进行客户判别、业绩确认、销售进度、款项进度等核对工作。</w:t>
      </w:r>
    </w:p>
    <w:p>
      <w:pPr>
        <w:spacing w:line="336" w:lineRule="auto"/>
        <w:ind w:firstLine="480" w:firstLineChars="200"/>
        <w:rPr>
          <w:sz w:val="24"/>
          <w:szCs w:val="24"/>
        </w:rPr>
      </w:pPr>
      <w:r>
        <w:rPr>
          <w:rFonts w:hint="eastAsia"/>
          <w:sz w:val="24"/>
          <w:szCs w:val="24"/>
        </w:rPr>
        <w:t>甲方对乙方的服务质量，每个月对渠道进行一次指标考核。如连续多月未能完成甲方下发的销售指标，甲方有权中止委托或替换其他服务单位，视乙方相关管理措施整改情况可重新启动的，由甲方书面通知重新启动，具体执行细则以合同约定为准。</w:t>
      </w:r>
    </w:p>
    <w:p>
      <w:pPr>
        <w:spacing w:line="336" w:lineRule="auto"/>
        <w:ind w:firstLine="424" w:firstLineChars="177"/>
        <w:rPr>
          <w:sz w:val="24"/>
          <w:szCs w:val="24"/>
        </w:rPr>
      </w:pPr>
      <w:r>
        <w:rPr>
          <w:sz w:val="24"/>
          <w:szCs w:val="24"/>
        </w:rPr>
        <w:t>2.2.3服务期限：</w:t>
      </w:r>
      <w:r>
        <w:rPr>
          <w:rFonts w:hint="eastAsia" w:ascii="宋体" w:hAnsi="宋体" w:cs="宋体"/>
          <w:sz w:val="24"/>
          <w:u w:val="single"/>
        </w:rPr>
        <w:t>自双方签订合同之日起至2026年3月31日。</w:t>
      </w:r>
    </w:p>
    <w:p>
      <w:pPr>
        <w:spacing w:line="336" w:lineRule="auto"/>
        <w:ind w:firstLine="480" w:firstLineChars="200"/>
        <w:rPr>
          <w:sz w:val="24"/>
          <w:szCs w:val="24"/>
        </w:rPr>
      </w:pPr>
      <w:r>
        <w:rPr>
          <w:sz w:val="24"/>
          <w:szCs w:val="24"/>
        </w:rPr>
        <w:t>2.2.4最高投标限价：</w:t>
      </w:r>
      <w:r>
        <w:rPr>
          <w:rFonts w:hint="eastAsia"/>
          <w:sz w:val="24"/>
          <w:szCs w:val="24"/>
          <w:u w:val="single"/>
        </w:rPr>
        <w:t>1825.20万元</w:t>
      </w:r>
      <w:r>
        <w:rPr>
          <w:sz w:val="24"/>
          <w:szCs w:val="24"/>
        </w:rPr>
        <w:t xml:space="preserve">。            </w:t>
      </w:r>
    </w:p>
    <w:p>
      <w:pPr>
        <w:spacing w:line="336" w:lineRule="auto"/>
        <w:ind w:firstLine="480" w:firstLineChars="200"/>
        <w:rPr>
          <w:sz w:val="24"/>
          <w:szCs w:val="24"/>
        </w:rPr>
      </w:pPr>
      <w:r>
        <w:rPr>
          <w:sz w:val="24"/>
          <w:szCs w:val="24"/>
        </w:rPr>
        <w:t xml:space="preserve">                      </w:t>
      </w:r>
    </w:p>
    <w:p>
      <w:pPr>
        <w:spacing w:line="336" w:lineRule="auto"/>
        <w:rPr>
          <w:b/>
          <w:bCs/>
          <w:sz w:val="24"/>
          <w:szCs w:val="24"/>
        </w:rPr>
      </w:pPr>
      <w:bookmarkStart w:id="2" w:name="_Toc492300548"/>
      <w:r>
        <w:rPr>
          <w:b/>
          <w:bCs/>
          <w:sz w:val="24"/>
          <w:szCs w:val="24"/>
        </w:rPr>
        <w:t>3. 投标人资格要求</w:t>
      </w:r>
      <w:bookmarkEnd w:id="2"/>
    </w:p>
    <w:p>
      <w:pPr>
        <w:topLinePunct/>
        <w:spacing w:line="360" w:lineRule="auto"/>
        <w:ind w:firstLine="480" w:firstLineChars="200"/>
        <w:rPr>
          <w:rFonts w:hint="eastAsia" w:ascii="宋体" w:hAnsi="宋体" w:cs="宋体"/>
          <w:sz w:val="24"/>
        </w:rPr>
      </w:pPr>
      <w:bookmarkStart w:id="3" w:name="_Toc492300549"/>
      <w:r>
        <w:rPr>
          <w:rFonts w:hint="eastAsia" w:ascii="宋体" w:hAnsi="宋体" w:cs="宋体"/>
          <w:sz w:val="24"/>
        </w:rPr>
        <w:t>3.1投标人参加投标的意思表达清楚，投标人代表被授权有效。</w:t>
      </w:r>
    </w:p>
    <w:p>
      <w:pPr>
        <w:widowControl/>
        <w:tabs>
          <w:tab w:val="left" w:pos="4513"/>
        </w:tabs>
        <w:spacing w:line="360" w:lineRule="auto"/>
        <w:ind w:firstLine="480" w:firstLineChars="200"/>
        <w:jc w:val="left"/>
        <w:rPr>
          <w:sz w:val="24"/>
        </w:rPr>
      </w:pPr>
      <w:r>
        <w:rPr>
          <w:rFonts w:hint="eastAsia" w:ascii="宋体" w:hAnsi="宋体" w:cs="宋体"/>
          <w:sz w:val="24"/>
        </w:rPr>
        <w:t>3.2投标人须为获得相关政府建设（房地产）主管部门备案的房地产经纪机构。（提供有效备案证明文件复印件）</w:t>
      </w:r>
    </w:p>
    <w:p>
      <w:pPr>
        <w:widowControl/>
        <w:tabs>
          <w:tab w:val="left" w:pos="4513"/>
        </w:tabs>
        <w:spacing w:line="360" w:lineRule="auto"/>
        <w:ind w:firstLine="480" w:firstLineChars="200"/>
        <w:jc w:val="left"/>
        <w:rPr>
          <w:rFonts w:hint="eastAsia" w:ascii="宋体" w:hAnsi="宋体" w:cs="宋体"/>
          <w:sz w:val="24"/>
        </w:rPr>
      </w:pPr>
      <w:r>
        <w:rPr>
          <w:rFonts w:hint="eastAsia" w:ascii="宋体" w:hAnsi="宋体" w:cs="宋体"/>
          <w:sz w:val="24"/>
        </w:rPr>
        <w:t>3.3投标人已按照招标公告附件一的内容签署盖章的《投标人声明》。</w:t>
      </w:r>
    </w:p>
    <w:p>
      <w:pPr>
        <w:topLinePunct/>
        <w:spacing w:line="360" w:lineRule="auto"/>
        <w:ind w:firstLine="480" w:firstLineChars="200"/>
        <w:rPr>
          <w:rFonts w:hint="eastAsia" w:ascii="宋体" w:hAnsi="宋体" w:cs="宋体"/>
          <w:sz w:val="24"/>
        </w:rPr>
      </w:pPr>
      <w:r>
        <w:rPr>
          <w:rFonts w:hint="eastAsia" w:ascii="宋体" w:hAnsi="宋体" w:cs="宋体"/>
          <w:sz w:val="24"/>
        </w:rPr>
        <w:t>3.4投标人已按照招标公告附件二的内容签署盖章的《投标人承诺函》。</w:t>
      </w:r>
    </w:p>
    <w:p>
      <w:pPr>
        <w:topLinePunct/>
        <w:spacing w:line="360" w:lineRule="auto"/>
        <w:ind w:firstLine="480" w:firstLineChars="200"/>
        <w:rPr>
          <w:sz w:val="24"/>
        </w:rPr>
      </w:pPr>
      <w:r>
        <w:rPr>
          <w:rFonts w:hint="eastAsia" w:ascii="宋体" w:hAnsi="宋体" w:cs="宋体"/>
          <w:sz w:val="24"/>
        </w:rPr>
        <w:t>3.5</w:t>
      </w:r>
      <w:r>
        <w:rPr>
          <w:rFonts w:hint="eastAsia"/>
          <w:sz w:val="24"/>
        </w:rPr>
        <w:t>投标人未出现以下情形：与其它投标人的单位负责人为同一人或者存在控股、管理关系的（按投标人提供的《投标人声明》第六条内容进行评审），否则相关投标均无效。</w:t>
      </w:r>
    </w:p>
    <w:p>
      <w:pPr>
        <w:topLinePunct/>
        <w:spacing w:line="360" w:lineRule="auto"/>
        <w:ind w:firstLine="480" w:firstLineChars="200"/>
        <w:rPr>
          <w:rFonts w:hint="eastAsia" w:ascii="宋体" w:hAnsi="宋体" w:cs="宋体"/>
          <w:sz w:val="24"/>
        </w:rPr>
      </w:pPr>
      <w:r>
        <w:rPr>
          <w:rFonts w:hint="eastAsia" w:ascii="宋体" w:hAnsi="宋体" w:cs="宋体"/>
          <w:sz w:val="24"/>
        </w:rPr>
        <w:t>3.6业绩要求：近5年内（2020年1月1日起至今）有承接类似渠道营销服务业绩2个或以上（须提供合同复印件加盖公章，要求能体现合同签订时间、签约主体、合作内容及盖章页等内容）。</w:t>
      </w:r>
    </w:p>
    <w:p>
      <w:pPr>
        <w:topLinePunct/>
        <w:spacing w:line="360" w:lineRule="auto"/>
        <w:ind w:firstLine="480" w:firstLineChars="200"/>
        <w:rPr>
          <w:rFonts w:hint="eastAsia" w:ascii="宋体" w:hAnsi="宋体" w:cs="宋体"/>
          <w:sz w:val="24"/>
        </w:rPr>
      </w:pPr>
      <w:r>
        <w:rPr>
          <w:rFonts w:hint="eastAsia" w:ascii="宋体" w:hAnsi="宋体" w:cs="宋体"/>
          <w:sz w:val="24"/>
        </w:rPr>
        <w:t>3.7投标人不得存在下列情形之一：</w:t>
      </w:r>
    </w:p>
    <w:p>
      <w:pPr>
        <w:widowControl/>
        <w:tabs>
          <w:tab w:val="left" w:pos="4513"/>
        </w:tabs>
        <w:spacing w:line="360" w:lineRule="auto"/>
        <w:ind w:firstLine="480" w:firstLineChars="200"/>
        <w:jc w:val="left"/>
        <w:rPr>
          <w:rFonts w:hint="eastAsia" w:ascii="宋体" w:hAnsi="宋体" w:cs="宋体"/>
          <w:sz w:val="24"/>
        </w:rPr>
      </w:pPr>
      <w:r>
        <w:rPr>
          <w:rFonts w:hint="eastAsia" w:ascii="宋体" w:hAnsi="宋体" w:cs="宋体"/>
          <w:sz w:val="24"/>
        </w:rPr>
        <w:t>1）在国家企业信用信息公示系统 (http://www.gsxt.gov.cn/)中被列入严重违法失信企业名单；2)在“信用中国”网站 (htp:/vww.creditchina.gov.cn/)中被列入失信被执行人名单。（</w:t>
      </w:r>
      <w:r>
        <w:rPr>
          <w:rFonts w:hint="eastAsia" w:ascii="宋体" w:hAnsi="宋体" w:cs="宋体"/>
          <w:bCs/>
          <w:sz w:val="24"/>
          <w:szCs w:val="24"/>
        </w:rPr>
        <w:t>以招标代理机构于投标截止时间当天在“</w:t>
      </w:r>
      <w:r>
        <w:rPr>
          <w:rFonts w:hint="eastAsia" w:ascii="宋体" w:hAnsi="宋体" w:cs="宋体"/>
          <w:sz w:val="24"/>
        </w:rPr>
        <w:t>国家企业信用信息公示系统 (http://www.gsxt.gov.cn/)及</w:t>
      </w:r>
      <w:r>
        <w:rPr>
          <w:rFonts w:hint="eastAsia" w:ascii="宋体" w:hAnsi="宋体" w:cs="宋体"/>
          <w:bCs/>
          <w:sz w:val="24"/>
          <w:szCs w:val="24"/>
        </w:rPr>
        <w:t>信用中国网站（www.creditchina.gov.cn）”查询结果为准，如相关失信记录已失效，投标人需提供相关证明资料</w:t>
      </w:r>
      <w:r>
        <w:rPr>
          <w:rFonts w:hint="eastAsia" w:ascii="宋体" w:hAnsi="宋体" w:cs="宋体"/>
          <w:sz w:val="24"/>
        </w:rPr>
        <w:t>。）</w:t>
      </w:r>
    </w:p>
    <w:p>
      <w:pPr>
        <w:topLinePunct/>
        <w:spacing w:line="360" w:lineRule="auto"/>
        <w:ind w:firstLine="480" w:firstLineChars="200"/>
        <w:rPr>
          <w:rFonts w:hint="eastAsia" w:ascii="宋体" w:hAnsi="宋体" w:cs="宋体"/>
          <w:sz w:val="24"/>
        </w:rPr>
      </w:pPr>
      <w:r>
        <w:rPr>
          <w:rFonts w:hint="eastAsia" w:ascii="宋体" w:hAnsi="宋体" w:cs="宋体"/>
          <w:sz w:val="24"/>
        </w:rPr>
        <w:t>3.8本项目不接受联合体投标。</w:t>
      </w:r>
    </w:p>
    <w:p>
      <w:pPr>
        <w:spacing w:line="336" w:lineRule="auto"/>
        <w:rPr>
          <w:b/>
          <w:bCs/>
          <w:sz w:val="24"/>
          <w:szCs w:val="24"/>
        </w:rPr>
      </w:pPr>
      <w:r>
        <w:rPr>
          <w:b/>
          <w:bCs/>
          <w:sz w:val="24"/>
          <w:szCs w:val="24"/>
        </w:rPr>
        <w:t>4. 招标文件的获取</w:t>
      </w:r>
      <w:bookmarkEnd w:id="3"/>
    </w:p>
    <w:p>
      <w:pPr>
        <w:spacing w:line="336" w:lineRule="auto"/>
        <w:ind w:firstLine="482" w:firstLineChars="200"/>
        <w:rPr>
          <w:b/>
          <w:bCs/>
          <w:sz w:val="24"/>
          <w:szCs w:val="24"/>
        </w:rPr>
      </w:pPr>
      <w:r>
        <w:rPr>
          <w:b/>
          <w:bCs/>
          <w:sz w:val="24"/>
          <w:szCs w:val="24"/>
        </w:rPr>
        <w:t>4.1本项目采取网上投标登记方式进行投标登记。</w:t>
      </w:r>
    </w:p>
    <w:p>
      <w:pPr>
        <w:spacing w:line="336" w:lineRule="auto"/>
        <w:ind w:firstLine="482" w:firstLineChars="200"/>
        <w:rPr>
          <w:rFonts w:hint="eastAsia" w:ascii="宋体" w:hAnsi="宋体"/>
          <w:b/>
          <w:bCs/>
          <w:sz w:val="24"/>
          <w:szCs w:val="24"/>
        </w:rPr>
      </w:pPr>
      <w:r>
        <w:rPr>
          <w:b/>
          <w:bCs/>
          <w:sz w:val="24"/>
          <w:szCs w:val="24"/>
        </w:rPr>
        <w:t>4.2公告发布</w:t>
      </w:r>
    </w:p>
    <w:p>
      <w:pPr>
        <w:spacing w:line="336" w:lineRule="auto"/>
        <w:ind w:firstLine="480" w:firstLineChars="200"/>
        <w:rPr>
          <w:rFonts w:hint="eastAsia" w:ascii="宋体" w:hAnsi="宋体"/>
          <w:sz w:val="24"/>
          <w:szCs w:val="24"/>
        </w:rPr>
      </w:pPr>
      <w:r>
        <w:rPr>
          <w:rFonts w:ascii="宋体" w:hAnsi="宋体"/>
          <w:sz w:val="24"/>
          <w:szCs w:val="24"/>
        </w:rPr>
        <w:t>公告发布日期（含本日）：</w:t>
      </w:r>
      <w:r>
        <w:rPr>
          <w:rFonts w:ascii="宋体" w:hAnsi="宋体"/>
          <w:sz w:val="24"/>
          <w:szCs w:val="24"/>
          <w:u w:val="single"/>
        </w:rPr>
        <w:t>202</w:t>
      </w:r>
      <w:r>
        <w:rPr>
          <w:rFonts w:hint="eastAsia" w:ascii="宋体" w:hAnsi="宋体"/>
          <w:sz w:val="24"/>
          <w:szCs w:val="24"/>
          <w:u w:val="single"/>
        </w:rPr>
        <w:t>5</w:t>
      </w:r>
      <w:r>
        <w:rPr>
          <w:rFonts w:ascii="宋体" w:hAnsi="宋体"/>
          <w:sz w:val="24"/>
          <w:szCs w:val="24"/>
        </w:rPr>
        <w:t>年</w:t>
      </w:r>
      <w:r>
        <w:rPr>
          <w:rFonts w:ascii="宋体" w:hAnsi="宋体"/>
          <w:sz w:val="24"/>
          <w:szCs w:val="24"/>
          <w:u w:val="single"/>
        </w:rPr>
        <w:t xml:space="preserve"> </w:t>
      </w:r>
      <w:r>
        <w:rPr>
          <w:rFonts w:hint="eastAsia" w:ascii="宋体" w:hAnsi="宋体"/>
          <w:sz w:val="24"/>
          <w:szCs w:val="24"/>
          <w:u w:val="single"/>
        </w:rPr>
        <w:t>2</w:t>
      </w:r>
      <w:r>
        <w:rPr>
          <w:rFonts w:ascii="宋体" w:hAnsi="宋体"/>
          <w:sz w:val="24"/>
          <w:szCs w:val="24"/>
          <w:u w:val="single"/>
        </w:rPr>
        <w:t xml:space="preserve"> </w:t>
      </w:r>
      <w:r>
        <w:rPr>
          <w:rFonts w:ascii="宋体" w:hAnsi="宋体"/>
          <w:sz w:val="24"/>
          <w:szCs w:val="24"/>
        </w:rPr>
        <w:t>月</w:t>
      </w:r>
      <w:r>
        <w:rPr>
          <w:rFonts w:ascii="宋体" w:hAnsi="宋体"/>
          <w:sz w:val="24"/>
          <w:szCs w:val="24"/>
          <w:u w:val="single"/>
        </w:rPr>
        <w:t xml:space="preserve"> </w:t>
      </w:r>
      <w:r>
        <w:rPr>
          <w:rFonts w:hint="eastAsia" w:ascii="宋体" w:hAnsi="宋体"/>
          <w:sz w:val="24"/>
          <w:szCs w:val="24"/>
          <w:u w:val="single"/>
        </w:rPr>
        <w:t xml:space="preserve">25  </w:t>
      </w:r>
      <w:r>
        <w:rPr>
          <w:rFonts w:ascii="宋体" w:hAnsi="宋体"/>
          <w:sz w:val="24"/>
          <w:szCs w:val="24"/>
        </w:rPr>
        <w:t>日</w:t>
      </w:r>
      <w:r>
        <w:rPr>
          <w:rFonts w:ascii="宋体" w:hAnsi="宋体"/>
          <w:sz w:val="24"/>
          <w:szCs w:val="24"/>
          <w:u w:val="single"/>
        </w:rPr>
        <w:t>00</w:t>
      </w:r>
      <w:r>
        <w:rPr>
          <w:rFonts w:ascii="宋体" w:hAnsi="宋体"/>
          <w:sz w:val="24"/>
          <w:szCs w:val="24"/>
        </w:rPr>
        <w:t>时</w:t>
      </w:r>
      <w:r>
        <w:rPr>
          <w:rFonts w:ascii="宋体" w:hAnsi="宋体"/>
          <w:sz w:val="24"/>
          <w:szCs w:val="24"/>
          <w:u w:val="single"/>
        </w:rPr>
        <w:t>00</w:t>
      </w:r>
      <w:r>
        <w:rPr>
          <w:rFonts w:ascii="宋体" w:hAnsi="宋体"/>
          <w:sz w:val="24"/>
          <w:szCs w:val="24"/>
        </w:rPr>
        <w:t>分至</w:t>
      </w:r>
      <w:r>
        <w:rPr>
          <w:rFonts w:ascii="宋体" w:hAnsi="宋体"/>
          <w:sz w:val="24"/>
          <w:szCs w:val="24"/>
          <w:u w:val="single"/>
        </w:rPr>
        <w:t>202</w:t>
      </w:r>
      <w:r>
        <w:rPr>
          <w:rFonts w:hint="eastAsia" w:ascii="宋体" w:hAnsi="宋体"/>
          <w:sz w:val="24"/>
          <w:szCs w:val="24"/>
          <w:u w:val="single"/>
        </w:rPr>
        <w:t>5</w:t>
      </w:r>
      <w:r>
        <w:rPr>
          <w:rFonts w:ascii="宋体" w:hAnsi="宋体"/>
          <w:sz w:val="24"/>
          <w:szCs w:val="24"/>
        </w:rPr>
        <w:t>年</w:t>
      </w:r>
      <w:r>
        <w:rPr>
          <w:rFonts w:ascii="宋体" w:hAnsi="宋体"/>
          <w:sz w:val="24"/>
          <w:szCs w:val="24"/>
          <w:u w:val="single"/>
        </w:rPr>
        <w:t xml:space="preserve"> </w:t>
      </w:r>
      <w:r>
        <w:rPr>
          <w:rFonts w:hint="eastAsia" w:ascii="宋体" w:hAnsi="宋体"/>
          <w:sz w:val="24"/>
          <w:szCs w:val="24"/>
          <w:u w:val="single"/>
        </w:rPr>
        <w:t xml:space="preserve"> 3 </w:t>
      </w:r>
      <w:r>
        <w:rPr>
          <w:rFonts w:ascii="宋体" w:hAnsi="宋体"/>
          <w:sz w:val="24"/>
          <w:szCs w:val="24"/>
          <w:u w:val="single"/>
        </w:rPr>
        <w:t xml:space="preserve"> </w:t>
      </w:r>
      <w:r>
        <w:rPr>
          <w:rFonts w:ascii="宋体" w:hAnsi="宋体"/>
          <w:sz w:val="24"/>
          <w:szCs w:val="24"/>
        </w:rPr>
        <w:t>月</w:t>
      </w:r>
      <w:r>
        <w:rPr>
          <w:rFonts w:ascii="宋体" w:hAnsi="宋体"/>
          <w:sz w:val="24"/>
          <w:szCs w:val="24"/>
          <w:u w:val="single"/>
        </w:rPr>
        <w:t xml:space="preserve"> </w:t>
      </w:r>
      <w:r>
        <w:rPr>
          <w:rFonts w:hint="eastAsia" w:ascii="宋体" w:hAnsi="宋体"/>
          <w:sz w:val="24"/>
          <w:szCs w:val="24"/>
          <w:u w:val="single"/>
        </w:rPr>
        <w:t xml:space="preserve">16  </w:t>
      </w:r>
      <w:r>
        <w:rPr>
          <w:rFonts w:ascii="宋体" w:hAnsi="宋体"/>
          <w:sz w:val="24"/>
          <w:szCs w:val="24"/>
        </w:rPr>
        <w:t>日</w:t>
      </w:r>
      <w:r>
        <w:rPr>
          <w:rFonts w:ascii="宋体" w:hAnsi="宋体"/>
          <w:sz w:val="24"/>
          <w:szCs w:val="24"/>
          <w:u w:val="single"/>
        </w:rPr>
        <w:t>23</w:t>
      </w:r>
      <w:r>
        <w:rPr>
          <w:rFonts w:ascii="宋体" w:hAnsi="宋体"/>
          <w:sz w:val="24"/>
          <w:szCs w:val="24"/>
        </w:rPr>
        <w:t>时</w:t>
      </w:r>
      <w:r>
        <w:rPr>
          <w:rFonts w:ascii="宋体" w:hAnsi="宋体"/>
          <w:sz w:val="24"/>
          <w:szCs w:val="24"/>
          <w:u w:val="single"/>
        </w:rPr>
        <w:t>59</w:t>
      </w:r>
      <w:r>
        <w:rPr>
          <w:rFonts w:ascii="宋体" w:hAnsi="宋体"/>
          <w:sz w:val="24"/>
          <w:szCs w:val="24"/>
        </w:rPr>
        <w:t>分。</w:t>
      </w:r>
    </w:p>
    <w:p>
      <w:pPr>
        <w:spacing w:line="336" w:lineRule="auto"/>
        <w:rPr>
          <w:rFonts w:hint="eastAsia" w:ascii="宋体" w:hAnsi="宋体"/>
          <w:sz w:val="24"/>
          <w:szCs w:val="24"/>
        </w:rPr>
      </w:pPr>
      <w:r>
        <w:rPr>
          <w:rFonts w:ascii="宋体" w:hAnsi="宋体"/>
          <w:sz w:val="24"/>
          <w:szCs w:val="24"/>
        </w:rPr>
        <w:t>注：招标公告发布时间不得少于5日，从本公告发布之日起发售招标文件。</w:t>
      </w:r>
    </w:p>
    <w:p>
      <w:pPr>
        <w:spacing w:line="336" w:lineRule="auto"/>
        <w:ind w:firstLine="482" w:firstLineChars="200"/>
        <w:rPr>
          <w:rFonts w:hint="eastAsia" w:ascii="宋体" w:hAnsi="宋体"/>
          <w:b/>
          <w:bCs/>
          <w:sz w:val="24"/>
          <w:szCs w:val="24"/>
        </w:rPr>
      </w:pPr>
      <w:r>
        <w:rPr>
          <w:rFonts w:ascii="宋体" w:hAnsi="宋体"/>
          <w:b/>
          <w:bCs/>
          <w:sz w:val="24"/>
          <w:szCs w:val="24"/>
        </w:rPr>
        <w:t>4.3发售招标文件时间</w:t>
      </w:r>
    </w:p>
    <w:p>
      <w:pPr>
        <w:spacing w:line="360" w:lineRule="auto"/>
        <w:ind w:firstLine="480" w:firstLineChars="200"/>
        <w:rPr>
          <w:b/>
          <w:bCs/>
          <w:sz w:val="24"/>
          <w:szCs w:val="24"/>
        </w:rPr>
      </w:pPr>
      <w:r>
        <w:rPr>
          <w:rFonts w:ascii="宋体" w:hAnsi="宋体"/>
          <w:sz w:val="24"/>
          <w:szCs w:val="24"/>
        </w:rPr>
        <w:t>本项目招标文件由招标代理机构发售，有兴趣的投标人可在</w:t>
      </w:r>
      <w:r>
        <w:rPr>
          <w:rFonts w:ascii="宋体" w:hAnsi="宋体"/>
          <w:sz w:val="24"/>
          <w:szCs w:val="24"/>
          <w:u w:val="single"/>
        </w:rPr>
        <w:t>202</w:t>
      </w:r>
      <w:r>
        <w:rPr>
          <w:rFonts w:hint="eastAsia" w:ascii="宋体" w:hAnsi="宋体"/>
          <w:sz w:val="24"/>
          <w:szCs w:val="24"/>
          <w:u w:val="single"/>
        </w:rPr>
        <w:t>5</w:t>
      </w:r>
      <w:r>
        <w:rPr>
          <w:rFonts w:ascii="宋体" w:hAnsi="宋体"/>
          <w:sz w:val="24"/>
          <w:szCs w:val="24"/>
        </w:rPr>
        <w:t>年</w:t>
      </w:r>
      <w:r>
        <w:rPr>
          <w:rFonts w:ascii="宋体" w:hAnsi="宋体"/>
          <w:sz w:val="24"/>
          <w:szCs w:val="24"/>
          <w:u w:val="single"/>
        </w:rPr>
        <w:t xml:space="preserve"> </w:t>
      </w:r>
      <w:r>
        <w:rPr>
          <w:rFonts w:hint="eastAsia" w:ascii="宋体" w:hAnsi="宋体"/>
          <w:sz w:val="24"/>
          <w:szCs w:val="24"/>
          <w:u w:val="single"/>
        </w:rPr>
        <w:t xml:space="preserve"> 2  </w:t>
      </w:r>
      <w:r>
        <w:rPr>
          <w:rFonts w:ascii="宋体" w:hAnsi="宋体"/>
          <w:sz w:val="24"/>
          <w:szCs w:val="24"/>
        </w:rPr>
        <w:t>月</w:t>
      </w:r>
      <w:r>
        <w:rPr>
          <w:rFonts w:hint="eastAsia" w:ascii="宋体" w:hAnsi="宋体"/>
          <w:sz w:val="24"/>
          <w:szCs w:val="24"/>
          <w:u w:val="single"/>
        </w:rPr>
        <w:t xml:space="preserve">  25</w:t>
      </w:r>
      <w:r>
        <w:rPr>
          <w:rFonts w:ascii="宋体" w:hAnsi="宋体"/>
          <w:sz w:val="24"/>
          <w:szCs w:val="24"/>
          <w:u w:val="single"/>
        </w:rPr>
        <w:t xml:space="preserve"> </w:t>
      </w:r>
      <w:r>
        <w:rPr>
          <w:rFonts w:ascii="宋体" w:hAnsi="宋体"/>
          <w:sz w:val="24"/>
          <w:szCs w:val="24"/>
        </w:rPr>
        <w:t>日</w:t>
      </w:r>
      <w:r>
        <w:rPr>
          <w:rFonts w:ascii="宋体" w:hAnsi="宋体"/>
          <w:sz w:val="24"/>
          <w:szCs w:val="24"/>
          <w:u w:val="single"/>
        </w:rPr>
        <w:t xml:space="preserve"> 0 </w:t>
      </w:r>
      <w:r>
        <w:rPr>
          <w:rFonts w:ascii="宋体" w:hAnsi="宋体"/>
          <w:sz w:val="24"/>
          <w:szCs w:val="24"/>
        </w:rPr>
        <w:t>时</w:t>
      </w:r>
      <w:r>
        <w:rPr>
          <w:rFonts w:ascii="宋体" w:hAnsi="宋体"/>
          <w:sz w:val="24"/>
          <w:szCs w:val="24"/>
          <w:u w:val="single"/>
        </w:rPr>
        <w:t xml:space="preserve"> 00 </w:t>
      </w:r>
      <w:r>
        <w:rPr>
          <w:rFonts w:ascii="宋体" w:hAnsi="宋体"/>
          <w:sz w:val="24"/>
          <w:szCs w:val="24"/>
        </w:rPr>
        <w:t>分至</w:t>
      </w:r>
      <w:r>
        <w:rPr>
          <w:rFonts w:ascii="宋体" w:hAnsi="宋体"/>
          <w:sz w:val="24"/>
          <w:szCs w:val="24"/>
          <w:u w:val="single"/>
        </w:rPr>
        <w:t>202</w:t>
      </w:r>
      <w:r>
        <w:rPr>
          <w:rFonts w:hint="eastAsia" w:ascii="宋体" w:hAnsi="宋体"/>
          <w:sz w:val="24"/>
          <w:szCs w:val="24"/>
          <w:u w:val="single"/>
        </w:rPr>
        <w:t>5</w:t>
      </w:r>
      <w:r>
        <w:rPr>
          <w:rFonts w:ascii="宋体" w:hAnsi="宋体"/>
          <w:sz w:val="24"/>
          <w:szCs w:val="24"/>
        </w:rPr>
        <w:t>年</w:t>
      </w:r>
      <w:r>
        <w:rPr>
          <w:rFonts w:hint="eastAsia" w:ascii="宋体" w:hAnsi="宋体"/>
          <w:sz w:val="24"/>
          <w:szCs w:val="24"/>
          <w:u w:val="single"/>
        </w:rPr>
        <w:t xml:space="preserve"> 3 </w:t>
      </w:r>
      <w:r>
        <w:rPr>
          <w:rFonts w:ascii="宋体" w:hAnsi="宋体"/>
          <w:sz w:val="24"/>
          <w:szCs w:val="24"/>
        </w:rPr>
        <w:t>月</w:t>
      </w:r>
      <w:r>
        <w:rPr>
          <w:rFonts w:hint="eastAsia" w:ascii="宋体" w:hAnsi="宋体"/>
          <w:sz w:val="24"/>
          <w:szCs w:val="24"/>
          <w:u w:val="single"/>
        </w:rPr>
        <w:t xml:space="preserve"> 3</w:t>
      </w:r>
      <w:r>
        <w:rPr>
          <w:rFonts w:ascii="宋体" w:hAnsi="宋体"/>
          <w:sz w:val="24"/>
          <w:szCs w:val="24"/>
          <w:u w:val="single"/>
        </w:rPr>
        <w:t xml:space="preserve"> </w:t>
      </w:r>
      <w:r>
        <w:rPr>
          <w:rFonts w:ascii="宋体" w:hAnsi="宋体"/>
          <w:sz w:val="24"/>
          <w:szCs w:val="24"/>
        </w:rPr>
        <w:t>日</w:t>
      </w:r>
      <w:r>
        <w:rPr>
          <w:rFonts w:ascii="宋体" w:hAnsi="宋体"/>
          <w:sz w:val="24"/>
          <w:szCs w:val="24"/>
          <w:u w:val="single"/>
        </w:rPr>
        <w:t xml:space="preserve"> 23 </w:t>
      </w:r>
      <w:r>
        <w:rPr>
          <w:rFonts w:ascii="宋体" w:hAnsi="宋体"/>
          <w:sz w:val="24"/>
          <w:szCs w:val="24"/>
        </w:rPr>
        <w:t>时</w:t>
      </w:r>
      <w:r>
        <w:rPr>
          <w:rFonts w:ascii="宋体" w:hAnsi="宋体"/>
          <w:sz w:val="24"/>
          <w:szCs w:val="24"/>
          <w:u w:val="single"/>
        </w:rPr>
        <w:t xml:space="preserve"> 59 </w:t>
      </w:r>
      <w:r>
        <w:rPr>
          <w:rFonts w:ascii="宋体" w:hAnsi="宋体"/>
          <w:sz w:val="24"/>
          <w:szCs w:val="24"/>
        </w:rPr>
        <w:t>分(北京时间) 进行投标登记。</w:t>
      </w:r>
      <w:r>
        <w:rPr>
          <w:rFonts w:ascii="宋体" w:hAnsi="宋体"/>
          <w:b/>
          <w:bCs/>
          <w:sz w:val="24"/>
          <w:szCs w:val="24"/>
        </w:rPr>
        <w:t>有意参与投标</w:t>
      </w:r>
      <w:r>
        <w:rPr>
          <w:b/>
          <w:bCs/>
          <w:sz w:val="24"/>
          <w:szCs w:val="24"/>
        </w:rPr>
        <w:t>的投标人将以下资料及《招标文件售卖登记表》的扫描件发送至邮箱：</w:t>
      </w:r>
      <w:r>
        <w:rPr>
          <w:rFonts w:hint="eastAsia"/>
          <w:b/>
          <w:bCs/>
          <w:sz w:val="24"/>
          <w:szCs w:val="24"/>
          <w:u w:val="single"/>
        </w:rPr>
        <w:t>chengzhitouzi@126.com</w:t>
      </w:r>
      <w:r>
        <w:rPr>
          <w:b/>
          <w:bCs/>
          <w:sz w:val="24"/>
          <w:szCs w:val="24"/>
        </w:rPr>
        <w:t xml:space="preserve">进行投标登记，原件将在递交投标文件时一起递交。 </w:t>
      </w:r>
    </w:p>
    <w:p>
      <w:pPr>
        <w:tabs>
          <w:tab w:val="left" w:pos="567"/>
        </w:tabs>
        <w:spacing w:line="360" w:lineRule="auto"/>
        <w:ind w:firstLine="480" w:firstLineChars="200"/>
        <w:rPr>
          <w:sz w:val="24"/>
          <w:szCs w:val="24"/>
        </w:rPr>
      </w:pPr>
      <w:r>
        <w:rPr>
          <w:sz w:val="24"/>
          <w:szCs w:val="24"/>
        </w:rPr>
        <w:t>（1）投标人营业执照复印件；</w:t>
      </w:r>
    </w:p>
    <w:p>
      <w:pPr>
        <w:tabs>
          <w:tab w:val="left" w:pos="567"/>
        </w:tabs>
        <w:spacing w:line="360" w:lineRule="auto"/>
        <w:ind w:firstLine="480" w:firstLineChars="200"/>
        <w:rPr>
          <w:sz w:val="24"/>
          <w:szCs w:val="24"/>
        </w:rPr>
      </w:pPr>
      <w:r>
        <w:rPr>
          <w:sz w:val="24"/>
          <w:szCs w:val="24"/>
        </w:rPr>
        <w:t>（2）法定代表人（负责人）证明书及有效的授权书委托书原件（加盖公章、加盖法人代表（负责人）印章或签名，法定代表人（负责人）投标登记的不需提交授权委托书）；</w:t>
      </w:r>
    </w:p>
    <w:p>
      <w:pPr>
        <w:spacing w:line="360" w:lineRule="auto"/>
        <w:ind w:firstLine="480" w:firstLineChars="200"/>
        <w:rPr>
          <w:sz w:val="24"/>
          <w:szCs w:val="24"/>
        </w:rPr>
      </w:pPr>
      <w:r>
        <w:rPr>
          <w:sz w:val="24"/>
          <w:szCs w:val="24"/>
        </w:rPr>
        <w:t xml:space="preserve">（3）被授权人的身份证复印件； </w:t>
      </w:r>
    </w:p>
    <w:p>
      <w:pPr>
        <w:spacing w:line="336" w:lineRule="auto"/>
        <w:ind w:firstLine="480" w:firstLineChars="200"/>
        <w:rPr>
          <w:sz w:val="24"/>
          <w:szCs w:val="24"/>
        </w:rPr>
      </w:pPr>
      <w:r>
        <w:rPr>
          <w:sz w:val="24"/>
          <w:szCs w:val="24"/>
        </w:rPr>
        <w:t>注：</w:t>
      </w:r>
      <w:r>
        <w:rPr>
          <w:rFonts w:hint="eastAsia" w:ascii="宋体" w:hAnsi="宋体" w:cs="宋体"/>
          <w:sz w:val="24"/>
          <w:szCs w:val="24"/>
        </w:rPr>
        <w:t>①</w:t>
      </w:r>
      <w:r>
        <w:rPr>
          <w:sz w:val="24"/>
          <w:szCs w:val="24"/>
        </w:rPr>
        <w:t>从发布招</w:t>
      </w:r>
      <w:r>
        <w:rPr>
          <w:rFonts w:hint="eastAsia"/>
          <w:sz w:val="24"/>
          <w:szCs w:val="24"/>
        </w:rPr>
        <w:t>标</w:t>
      </w:r>
      <w:r>
        <w:rPr>
          <w:sz w:val="24"/>
          <w:szCs w:val="24"/>
        </w:rPr>
        <w:t>公告起接受投标登记及发售招标文件，并从发售招标文件之日起开始计算备标时间。</w:t>
      </w:r>
    </w:p>
    <w:p>
      <w:pPr>
        <w:spacing w:line="336" w:lineRule="auto"/>
        <w:ind w:firstLine="482" w:firstLineChars="200"/>
        <w:rPr>
          <w:b/>
          <w:bCs/>
          <w:sz w:val="24"/>
          <w:szCs w:val="24"/>
        </w:rPr>
      </w:pPr>
      <w:r>
        <w:rPr>
          <w:rFonts w:hint="eastAsia" w:ascii="宋体" w:hAnsi="宋体" w:cs="宋体"/>
          <w:b/>
          <w:bCs/>
          <w:sz w:val="24"/>
          <w:szCs w:val="24"/>
        </w:rPr>
        <w:t>②</w:t>
      </w:r>
      <w:r>
        <w:rPr>
          <w:b/>
          <w:bCs/>
          <w:sz w:val="24"/>
          <w:szCs w:val="24"/>
        </w:rPr>
        <w:t>本项目的招标文件费500元/套，由招标代理单位收取，售后不退。</w:t>
      </w:r>
    </w:p>
    <w:p>
      <w:pPr>
        <w:spacing w:line="336" w:lineRule="auto"/>
        <w:ind w:firstLine="480" w:firstLineChars="200"/>
        <w:rPr>
          <w:sz w:val="24"/>
          <w:szCs w:val="24"/>
        </w:rPr>
      </w:pPr>
      <w:r>
        <w:rPr>
          <w:sz w:val="24"/>
          <w:szCs w:val="24"/>
        </w:rPr>
        <w:t>4.</w:t>
      </w:r>
      <w:r>
        <w:rPr>
          <w:rFonts w:hint="eastAsia"/>
          <w:sz w:val="24"/>
          <w:szCs w:val="24"/>
        </w:rPr>
        <w:t>4</w:t>
      </w:r>
      <w:r>
        <w:rPr>
          <w:sz w:val="24"/>
          <w:szCs w:val="24"/>
        </w:rPr>
        <w:t>本项目采用资格后审方式</w:t>
      </w:r>
      <w:bookmarkStart w:id="4" w:name="_Toc492300550"/>
      <w:r>
        <w:rPr>
          <w:sz w:val="24"/>
          <w:szCs w:val="24"/>
        </w:rPr>
        <w:t>，实行纸质化资格审查。</w:t>
      </w:r>
    </w:p>
    <w:p>
      <w:pPr>
        <w:spacing w:line="336" w:lineRule="auto"/>
        <w:rPr>
          <w:b/>
          <w:bCs/>
          <w:sz w:val="24"/>
          <w:szCs w:val="24"/>
        </w:rPr>
      </w:pPr>
      <w:r>
        <w:rPr>
          <w:b/>
          <w:bCs/>
          <w:sz w:val="24"/>
          <w:szCs w:val="24"/>
        </w:rPr>
        <w:t>5.投标文件的递交</w:t>
      </w:r>
      <w:bookmarkEnd w:id="4"/>
    </w:p>
    <w:p>
      <w:pPr>
        <w:spacing w:line="360" w:lineRule="auto"/>
        <w:ind w:firstLine="482" w:firstLineChars="200"/>
        <w:rPr>
          <w:b/>
          <w:sz w:val="24"/>
          <w:szCs w:val="24"/>
        </w:rPr>
      </w:pPr>
      <w:r>
        <w:rPr>
          <w:b/>
          <w:sz w:val="24"/>
          <w:szCs w:val="24"/>
        </w:rPr>
        <w:t>5.1递交投标文件时间：</w:t>
      </w:r>
      <w:r>
        <w:rPr>
          <w:b/>
          <w:bCs/>
          <w:sz w:val="24"/>
          <w:szCs w:val="24"/>
          <w:u w:val="single"/>
        </w:rPr>
        <w:t>202</w:t>
      </w:r>
      <w:r>
        <w:rPr>
          <w:rFonts w:hint="eastAsia"/>
          <w:b/>
          <w:bCs/>
          <w:sz w:val="24"/>
          <w:szCs w:val="24"/>
          <w:u w:val="single"/>
        </w:rPr>
        <w:t>5</w:t>
      </w:r>
      <w:r>
        <w:rPr>
          <w:b/>
          <w:bCs/>
          <w:sz w:val="24"/>
          <w:szCs w:val="24"/>
        </w:rPr>
        <w:t>年</w:t>
      </w:r>
      <w:r>
        <w:rPr>
          <w:b/>
          <w:bCs/>
          <w:sz w:val="24"/>
          <w:szCs w:val="24"/>
          <w:u w:val="single"/>
        </w:rPr>
        <w:t xml:space="preserve"> </w:t>
      </w:r>
      <w:r>
        <w:rPr>
          <w:rFonts w:hint="eastAsia"/>
          <w:b/>
          <w:bCs/>
          <w:sz w:val="24"/>
          <w:szCs w:val="24"/>
          <w:u w:val="single"/>
        </w:rPr>
        <w:t xml:space="preserve"> 3 </w:t>
      </w:r>
      <w:r>
        <w:rPr>
          <w:b/>
          <w:bCs/>
          <w:sz w:val="24"/>
          <w:szCs w:val="24"/>
        </w:rPr>
        <w:t>月</w:t>
      </w:r>
      <w:r>
        <w:rPr>
          <w:b/>
          <w:bCs/>
          <w:sz w:val="24"/>
          <w:szCs w:val="24"/>
          <w:u w:val="single"/>
        </w:rPr>
        <w:t xml:space="preserve"> </w:t>
      </w:r>
      <w:r>
        <w:rPr>
          <w:rFonts w:hint="eastAsia"/>
          <w:b/>
          <w:bCs/>
          <w:sz w:val="24"/>
          <w:szCs w:val="24"/>
          <w:u w:val="single"/>
        </w:rPr>
        <w:t xml:space="preserve">17 </w:t>
      </w:r>
      <w:r>
        <w:rPr>
          <w:b/>
          <w:bCs/>
          <w:sz w:val="24"/>
          <w:szCs w:val="24"/>
          <w:u w:val="single"/>
        </w:rPr>
        <w:t xml:space="preserve"> </w:t>
      </w:r>
      <w:r>
        <w:rPr>
          <w:b/>
          <w:bCs/>
          <w:sz w:val="24"/>
          <w:szCs w:val="24"/>
        </w:rPr>
        <w:t>日</w:t>
      </w:r>
      <w:r>
        <w:rPr>
          <w:b/>
          <w:bCs/>
          <w:sz w:val="24"/>
          <w:szCs w:val="24"/>
          <w:u w:val="single"/>
        </w:rPr>
        <w:t xml:space="preserve"> </w:t>
      </w:r>
      <w:r>
        <w:rPr>
          <w:rFonts w:hint="eastAsia"/>
          <w:b/>
          <w:sz w:val="24"/>
          <w:szCs w:val="24"/>
          <w:u w:val="single"/>
        </w:rPr>
        <w:t>9</w:t>
      </w:r>
      <w:r>
        <w:rPr>
          <w:b/>
          <w:sz w:val="24"/>
          <w:szCs w:val="24"/>
          <w:u w:val="single"/>
        </w:rPr>
        <w:t xml:space="preserve"> </w:t>
      </w:r>
      <w:r>
        <w:rPr>
          <w:b/>
          <w:sz w:val="24"/>
          <w:szCs w:val="24"/>
        </w:rPr>
        <w:t>时</w:t>
      </w:r>
      <w:r>
        <w:rPr>
          <w:b/>
          <w:sz w:val="24"/>
          <w:szCs w:val="24"/>
          <w:u w:val="single"/>
        </w:rPr>
        <w:t xml:space="preserve"> 00 </w:t>
      </w:r>
      <w:r>
        <w:rPr>
          <w:b/>
          <w:sz w:val="24"/>
          <w:szCs w:val="24"/>
        </w:rPr>
        <w:t>分至</w:t>
      </w:r>
      <w:r>
        <w:rPr>
          <w:b/>
          <w:sz w:val="24"/>
          <w:szCs w:val="24"/>
          <w:u w:val="single"/>
        </w:rPr>
        <w:t xml:space="preserve"> </w:t>
      </w:r>
      <w:r>
        <w:rPr>
          <w:rFonts w:hint="eastAsia"/>
          <w:b/>
          <w:sz w:val="24"/>
          <w:szCs w:val="24"/>
          <w:u w:val="single"/>
        </w:rPr>
        <w:t xml:space="preserve"> 9</w:t>
      </w:r>
      <w:r>
        <w:rPr>
          <w:b/>
          <w:sz w:val="24"/>
          <w:szCs w:val="24"/>
          <w:u w:val="single"/>
        </w:rPr>
        <w:t xml:space="preserve"> </w:t>
      </w:r>
      <w:r>
        <w:rPr>
          <w:b/>
          <w:sz w:val="24"/>
          <w:szCs w:val="24"/>
        </w:rPr>
        <w:t>时</w:t>
      </w:r>
      <w:r>
        <w:rPr>
          <w:b/>
          <w:sz w:val="24"/>
          <w:szCs w:val="24"/>
          <w:u w:val="single"/>
        </w:rPr>
        <w:t xml:space="preserve"> </w:t>
      </w:r>
      <w:r>
        <w:rPr>
          <w:rFonts w:hint="eastAsia"/>
          <w:b/>
          <w:sz w:val="24"/>
          <w:szCs w:val="24"/>
          <w:u w:val="single"/>
        </w:rPr>
        <w:t xml:space="preserve">30 </w:t>
      </w:r>
      <w:r>
        <w:rPr>
          <w:b/>
          <w:sz w:val="24"/>
          <w:szCs w:val="24"/>
        </w:rPr>
        <w:t xml:space="preserve">分(北京时间) </w:t>
      </w:r>
    </w:p>
    <w:p>
      <w:pPr>
        <w:widowControl/>
        <w:tabs>
          <w:tab w:val="left" w:pos="567"/>
        </w:tabs>
        <w:autoSpaceDE w:val="0"/>
        <w:autoSpaceDN w:val="0"/>
        <w:spacing w:line="360" w:lineRule="auto"/>
        <w:ind w:firstLine="482" w:firstLineChars="200"/>
        <w:textAlignment w:val="bottom"/>
        <w:rPr>
          <w:b/>
          <w:sz w:val="24"/>
          <w:szCs w:val="24"/>
        </w:rPr>
      </w:pPr>
      <w:r>
        <w:rPr>
          <w:b/>
          <w:sz w:val="24"/>
          <w:szCs w:val="24"/>
        </w:rPr>
        <w:t>5.2投标截止及开标时间：</w:t>
      </w:r>
      <w:r>
        <w:rPr>
          <w:b/>
          <w:bCs/>
          <w:sz w:val="24"/>
          <w:szCs w:val="24"/>
          <w:u w:val="single"/>
        </w:rPr>
        <w:t>202</w:t>
      </w:r>
      <w:r>
        <w:rPr>
          <w:rFonts w:hint="eastAsia"/>
          <w:b/>
          <w:bCs/>
          <w:sz w:val="24"/>
          <w:szCs w:val="24"/>
          <w:u w:val="single"/>
        </w:rPr>
        <w:t>5</w:t>
      </w:r>
      <w:r>
        <w:rPr>
          <w:b/>
          <w:bCs/>
          <w:sz w:val="24"/>
          <w:szCs w:val="24"/>
        </w:rPr>
        <w:t>年</w:t>
      </w:r>
      <w:r>
        <w:rPr>
          <w:b/>
          <w:bCs/>
          <w:sz w:val="24"/>
          <w:szCs w:val="24"/>
          <w:u w:val="single"/>
        </w:rPr>
        <w:t xml:space="preserve"> </w:t>
      </w:r>
      <w:r>
        <w:rPr>
          <w:rFonts w:hint="eastAsia"/>
          <w:b/>
          <w:bCs/>
          <w:sz w:val="24"/>
          <w:szCs w:val="24"/>
          <w:u w:val="single"/>
        </w:rPr>
        <w:t xml:space="preserve"> 3  </w:t>
      </w:r>
      <w:r>
        <w:rPr>
          <w:b/>
          <w:bCs/>
          <w:sz w:val="24"/>
          <w:szCs w:val="24"/>
        </w:rPr>
        <w:t>月</w:t>
      </w:r>
      <w:r>
        <w:rPr>
          <w:b/>
          <w:bCs/>
          <w:sz w:val="24"/>
          <w:szCs w:val="24"/>
          <w:u w:val="single"/>
        </w:rPr>
        <w:t xml:space="preserve"> </w:t>
      </w:r>
      <w:r>
        <w:rPr>
          <w:rFonts w:hint="eastAsia"/>
          <w:b/>
          <w:bCs/>
          <w:sz w:val="24"/>
          <w:szCs w:val="24"/>
          <w:u w:val="single"/>
        </w:rPr>
        <w:t xml:space="preserve">17 </w:t>
      </w:r>
      <w:r>
        <w:rPr>
          <w:b/>
          <w:bCs/>
          <w:sz w:val="24"/>
          <w:szCs w:val="24"/>
          <w:u w:val="single"/>
        </w:rPr>
        <w:t xml:space="preserve"> </w:t>
      </w:r>
      <w:r>
        <w:rPr>
          <w:b/>
          <w:bCs/>
          <w:sz w:val="24"/>
          <w:szCs w:val="24"/>
        </w:rPr>
        <w:t>日</w:t>
      </w:r>
      <w:r>
        <w:rPr>
          <w:b/>
          <w:sz w:val="24"/>
          <w:szCs w:val="24"/>
          <w:u w:val="single"/>
        </w:rPr>
        <w:t xml:space="preserve"> </w:t>
      </w:r>
      <w:r>
        <w:rPr>
          <w:rFonts w:hint="eastAsia"/>
          <w:b/>
          <w:sz w:val="24"/>
          <w:szCs w:val="24"/>
          <w:u w:val="single"/>
        </w:rPr>
        <w:t xml:space="preserve"> 9</w:t>
      </w:r>
      <w:r>
        <w:rPr>
          <w:b/>
          <w:sz w:val="24"/>
          <w:szCs w:val="24"/>
          <w:u w:val="single"/>
        </w:rPr>
        <w:t xml:space="preserve"> </w:t>
      </w:r>
      <w:r>
        <w:rPr>
          <w:b/>
          <w:sz w:val="24"/>
          <w:szCs w:val="24"/>
        </w:rPr>
        <w:t>时</w:t>
      </w:r>
      <w:r>
        <w:rPr>
          <w:rFonts w:hint="eastAsia"/>
          <w:b/>
          <w:sz w:val="24"/>
          <w:szCs w:val="24"/>
          <w:u w:val="single"/>
        </w:rPr>
        <w:t xml:space="preserve">  30</w:t>
      </w:r>
      <w:r>
        <w:rPr>
          <w:b/>
          <w:sz w:val="24"/>
          <w:szCs w:val="24"/>
          <w:u w:val="single"/>
        </w:rPr>
        <w:t xml:space="preserve"> </w:t>
      </w:r>
      <w:r>
        <w:rPr>
          <w:b/>
          <w:sz w:val="24"/>
          <w:szCs w:val="24"/>
        </w:rPr>
        <w:t>分 (北京时间）</w:t>
      </w:r>
    </w:p>
    <w:p>
      <w:pPr>
        <w:widowControl/>
        <w:tabs>
          <w:tab w:val="left" w:pos="567"/>
        </w:tabs>
        <w:autoSpaceDE w:val="0"/>
        <w:autoSpaceDN w:val="0"/>
        <w:spacing w:line="360" w:lineRule="auto"/>
        <w:ind w:firstLine="482" w:firstLineChars="200"/>
        <w:textAlignment w:val="bottom"/>
        <w:rPr>
          <w:b/>
          <w:sz w:val="24"/>
          <w:szCs w:val="24"/>
        </w:rPr>
      </w:pPr>
      <w:r>
        <w:rPr>
          <w:b/>
          <w:sz w:val="24"/>
          <w:szCs w:val="24"/>
        </w:rPr>
        <w:t>5.3开标地点：</w:t>
      </w:r>
      <w:r>
        <w:rPr>
          <w:rFonts w:hint="eastAsia" w:ascii="宋体" w:hAnsi="宋体" w:cs="宋体"/>
          <w:b/>
          <w:sz w:val="24"/>
          <w:szCs w:val="24"/>
          <w:u w:val="single"/>
        </w:rPr>
        <w:t>成致项目管理有限公司</w:t>
      </w:r>
      <w:r>
        <w:rPr>
          <w:rFonts w:hint="eastAsia" w:ascii="宋体" w:hAnsi="宋体" w:cs="宋体"/>
          <w:b/>
          <w:sz w:val="24"/>
          <w:szCs w:val="24"/>
        </w:rPr>
        <w:t>（地址：广州市天河区黄埔大道中122号伟腾商务中心412房）。投标单位需携带法定代表人身份证明书原件、授权委托书原件、授权人身份证原件递交投标文件并参与开标环节。</w:t>
      </w:r>
    </w:p>
    <w:p>
      <w:pPr>
        <w:pStyle w:val="6"/>
        <w:kinsoku w:val="0"/>
        <w:overflowPunct w:val="0"/>
        <w:spacing w:before="27" w:beforeAutospacing="0" w:after="0" w:afterAutospacing="0" w:line="336" w:lineRule="auto"/>
        <w:ind w:firstLine="482" w:firstLineChars="200"/>
        <w:rPr>
          <w:rFonts w:ascii="Times New Roman" w:hAnsi="Times New Roman" w:cs="Times New Roman"/>
          <w:bCs/>
          <w:color w:val="auto"/>
          <w:shd w:val="clear" w:color="auto" w:fill="FFFFFF"/>
        </w:rPr>
      </w:pPr>
      <w:r>
        <w:rPr>
          <w:rFonts w:ascii="Times New Roman" w:hAnsi="Times New Roman" w:cs="Times New Roman"/>
          <w:b/>
          <w:color w:val="auto"/>
          <w:kern w:val="2"/>
          <w:szCs w:val="24"/>
        </w:rPr>
        <w:t>5.4</w:t>
      </w:r>
      <w:r>
        <w:rPr>
          <w:rFonts w:ascii="Times New Roman" w:hAnsi="Times New Roman" w:cs="Times New Roman"/>
          <w:bCs/>
          <w:color w:val="auto"/>
          <w:spacing w:val="-3"/>
          <w:shd w:val="clear" w:color="auto" w:fill="FFFFFF"/>
        </w:rPr>
        <w:t>逾</w:t>
      </w:r>
      <w:r>
        <w:rPr>
          <w:rFonts w:ascii="Times New Roman" w:hAnsi="Times New Roman" w:cs="Times New Roman"/>
          <w:bCs/>
          <w:color w:val="auto"/>
          <w:shd w:val="clear" w:color="auto" w:fill="FFFFFF"/>
        </w:rPr>
        <w:t>期送达</w:t>
      </w:r>
      <w:r>
        <w:rPr>
          <w:rFonts w:ascii="Times New Roman" w:hAnsi="Times New Roman" w:cs="Times New Roman"/>
          <w:bCs/>
          <w:color w:val="auto"/>
          <w:spacing w:val="-3"/>
          <w:shd w:val="clear" w:color="auto" w:fill="FFFFFF"/>
        </w:rPr>
        <w:t>的、</w:t>
      </w:r>
      <w:r>
        <w:rPr>
          <w:rFonts w:ascii="Times New Roman" w:hAnsi="Times New Roman" w:cs="Times New Roman"/>
          <w:bCs/>
          <w:color w:val="auto"/>
          <w:shd w:val="clear" w:color="auto" w:fill="FFFFFF"/>
        </w:rPr>
        <w:t>未送达指</w:t>
      </w:r>
      <w:r>
        <w:rPr>
          <w:rFonts w:ascii="Times New Roman" w:hAnsi="Times New Roman" w:cs="Times New Roman"/>
          <w:bCs/>
          <w:color w:val="auto"/>
          <w:spacing w:val="-3"/>
          <w:shd w:val="clear" w:color="auto" w:fill="FFFFFF"/>
        </w:rPr>
        <w:t>定</w:t>
      </w:r>
      <w:r>
        <w:rPr>
          <w:rFonts w:ascii="Times New Roman" w:hAnsi="Times New Roman" w:cs="Times New Roman"/>
          <w:bCs/>
          <w:color w:val="auto"/>
          <w:shd w:val="clear" w:color="auto" w:fill="FFFFFF"/>
        </w:rPr>
        <w:t>地点的</w:t>
      </w:r>
      <w:r>
        <w:rPr>
          <w:rFonts w:ascii="Times New Roman" w:hAnsi="Times New Roman" w:cs="Times New Roman"/>
          <w:bCs/>
          <w:color w:val="auto"/>
          <w:spacing w:val="-3"/>
          <w:shd w:val="clear" w:color="auto" w:fill="FFFFFF"/>
        </w:rPr>
        <w:t>或</w:t>
      </w:r>
      <w:r>
        <w:rPr>
          <w:rFonts w:ascii="Times New Roman" w:hAnsi="Times New Roman" w:cs="Times New Roman"/>
          <w:bCs/>
          <w:color w:val="auto"/>
          <w:shd w:val="clear" w:color="auto" w:fill="FFFFFF"/>
        </w:rPr>
        <w:t>者不按照</w:t>
      </w:r>
      <w:r>
        <w:rPr>
          <w:rFonts w:ascii="Times New Roman" w:hAnsi="Times New Roman" w:cs="Times New Roman"/>
          <w:bCs/>
          <w:color w:val="auto"/>
          <w:spacing w:val="-3"/>
          <w:shd w:val="clear" w:color="auto" w:fill="FFFFFF"/>
        </w:rPr>
        <w:t>招</w:t>
      </w:r>
      <w:r>
        <w:rPr>
          <w:rFonts w:ascii="Times New Roman" w:hAnsi="Times New Roman" w:cs="Times New Roman"/>
          <w:bCs/>
          <w:color w:val="auto"/>
          <w:shd w:val="clear" w:color="auto" w:fill="FFFFFF"/>
        </w:rPr>
        <w:t>标文件</w:t>
      </w:r>
      <w:r>
        <w:rPr>
          <w:rFonts w:ascii="Times New Roman" w:hAnsi="Times New Roman" w:cs="Times New Roman"/>
          <w:bCs/>
          <w:color w:val="auto"/>
          <w:spacing w:val="-3"/>
          <w:shd w:val="clear" w:color="auto" w:fill="FFFFFF"/>
        </w:rPr>
        <w:t>要</w:t>
      </w:r>
      <w:r>
        <w:rPr>
          <w:rFonts w:ascii="Times New Roman" w:hAnsi="Times New Roman" w:cs="Times New Roman"/>
          <w:bCs/>
          <w:color w:val="auto"/>
          <w:shd w:val="clear" w:color="auto" w:fill="FFFFFF"/>
        </w:rPr>
        <w:t>求密封</w:t>
      </w:r>
      <w:r>
        <w:rPr>
          <w:rFonts w:ascii="Times New Roman" w:hAnsi="Times New Roman" w:cs="Times New Roman"/>
          <w:bCs/>
          <w:color w:val="auto"/>
          <w:spacing w:val="-3"/>
          <w:shd w:val="clear" w:color="auto" w:fill="FFFFFF"/>
        </w:rPr>
        <w:t>的</w:t>
      </w:r>
      <w:r>
        <w:rPr>
          <w:rFonts w:ascii="Times New Roman" w:hAnsi="Times New Roman" w:cs="Times New Roman"/>
          <w:bCs/>
          <w:color w:val="auto"/>
          <w:shd w:val="clear" w:color="auto" w:fill="FFFFFF"/>
        </w:rPr>
        <w:t>投标文件</w:t>
      </w:r>
      <w:r>
        <w:rPr>
          <w:rFonts w:ascii="Times New Roman" w:hAnsi="Times New Roman" w:cs="Times New Roman"/>
          <w:bCs/>
          <w:color w:val="auto"/>
          <w:spacing w:val="-3"/>
          <w:shd w:val="clear" w:color="auto" w:fill="FFFFFF"/>
        </w:rPr>
        <w:t>，</w:t>
      </w:r>
      <w:r>
        <w:rPr>
          <w:rFonts w:ascii="Times New Roman" w:hAnsi="Times New Roman" w:cs="Times New Roman"/>
          <w:bCs/>
          <w:color w:val="auto"/>
          <w:shd w:val="clear" w:color="auto" w:fill="FFFFFF"/>
        </w:rPr>
        <w:t>招标人将予</w:t>
      </w:r>
      <w:r>
        <w:rPr>
          <w:rFonts w:ascii="Times New Roman" w:hAnsi="Times New Roman" w:cs="Times New Roman"/>
          <w:bCs/>
          <w:color w:val="auto"/>
          <w:spacing w:val="-3"/>
          <w:shd w:val="clear" w:color="auto" w:fill="FFFFFF"/>
        </w:rPr>
        <w:t>以</w:t>
      </w:r>
      <w:r>
        <w:rPr>
          <w:rFonts w:ascii="Times New Roman" w:hAnsi="Times New Roman" w:cs="Times New Roman"/>
          <w:bCs/>
          <w:color w:val="auto"/>
          <w:shd w:val="clear" w:color="auto" w:fill="FFFFFF"/>
        </w:rPr>
        <w:t>拒收。</w:t>
      </w:r>
    </w:p>
    <w:p>
      <w:pPr>
        <w:spacing w:line="336" w:lineRule="auto"/>
        <w:rPr>
          <w:b/>
          <w:bCs/>
          <w:sz w:val="24"/>
          <w:szCs w:val="24"/>
        </w:rPr>
      </w:pPr>
      <w:bookmarkStart w:id="5" w:name="_Toc492300551"/>
      <w:r>
        <w:rPr>
          <w:b/>
          <w:bCs/>
          <w:sz w:val="24"/>
          <w:szCs w:val="24"/>
        </w:rPr>
        <w:t>6.发布公告的媒介</w:t>
      </w:r>
      <w:bookmarkEnd w:id="5"/>
    </w:p>
    <w:p>
      <w:pPr>
        <w:spacing w:line="336" w:lineRule="auto"/>
        <w:ind w:firstLine="480" w:firstLineChars="200"/>
        <w:jc w:val="left"/>
        <w:rPr>
          <w:sz w:val="24"/>
          <w:szCs w:val="24"/>
        </w:rPr>
      </w:pPr>
      <w:bookmarkStart w:id="6" w:name="_Toc492300552"/>
      <w:r>
        <w:rPr>
          <w:sz w:val="24"/>
          <w:szCs w:val="24"/>
        </w:rPr>
        <w:t>本次招标公告同时在</w:t>
      </w:r>
      <w:r>
        <w:rPr>
          <w:rFonts w:hint="eastAsia"/>
          <w:sz w:val="24"/>
          <w:szCs w:val="24"/>
          <w:u w:val="single"/>
        </w:rPr>
        <w:t>成致项目管理有限公司网站</w:t>
      </w:r>
      <w:r>
        <w:rPr>
          <w:sz w:val="24"/>
          <w:szCs w:val="24"/>
          <w:u w:val="single"/>
        </w:rPr>
        <w:t>（http://www.gdchengzhi.com/）、广州国企阳光采购信息发布平台（http://ygcg.gzggzy.cn/p92/index.html）</w:t>
      </w:r>
      <w:r>
        <w:rPr>
          <w:sz w:val="24"/>
          <w:szCs w:val="24"/>
        </w:rPr>
        <w:t>发布，本公告的修改、补充，在</w:t>
      </w:r>
      <w:r>
        <w:rPr>
          <w:rFonts w:hint="eastAsia"/>
          <w:sz w:val="24"/>
          <w:szCs w:val="24"/>
          <w:u w:val="single"/>
        </w:rPr>
        <w:t>成致项目管理有限公司网站</w:t>
      </w:r>
      <w:r>
        <w:rPr>
          <w:sz w:val="24"/>
          <w:szCs w:val="24"/>
        </w:rPr>
        <w:t>上发布。</w:t>
      </w:r>
    </w:p>
    <w:p>
      <w:pPr>
        <w:spacing w:line="336" w:lineRule="auto"/>
        <w:rPr>
          <w:b/>
          <w:bCs/>
          <w:sz w:val="24"/>
          <w:szCs w:val="24"/>
        </w:rPr>
      </w:pPr>
      <w:r>
        <w:rPr>
          <w:b/>
          <w:bCs/>
          <w:sz w:val="24"/>
          <w:szCs w:val="24"/>
        </w:rPr>
        <w:t>7. 联系方式</w:t>
      </w:r>
      <w:bookmarkEnd w:id="6"/>
    </w:p>
    <w:p>
      <w:pPr>
        <w:spacing w:line="336" w:lineRule="auto"/>
        <w:ind w:left="4" w:leftChars="2"/>
        <w:jc w:val="left"/>
        <w:rPr>
          <w:sz w:val="24"/>
          <w:szCs w:val="24"/>
        </w:rPr>
      </w:pPr>
      <w:r>
        <w:rPr>
          <w:sz w:val="24"/>
          <w:szCs w:val="24"/>
        </w:rPr>
        <w:t>招 标 人：</w:t>
      </w:r>
      <w:r>
        <w:rPr>
          <w:rFonts w:hint="eastAsia"/>
          <w:sz w:val="24"/>
          <w:szCs w:val="24"/>
          <w:u w:val="single"/>
        </w:rPr>
        <w:t>广州市花都区恒裕房地产开发有限公司</w:t>
      </w:r>
    </w:p>
    <w:p>
      <w:pPr>
        <w:widowControl/>
        <w:spacing w:line="336" w:lineRule="auto"/>
        <w:jc w:val="left"/>
      </w:pPr>
      <w:r>
        <w:rPr>
          <w:sz w:val="24"/>
          <w:szCs w:val="24"/>
        </w:rPr>
        <w:t>地    址：</w:t>
      </w:r>
      <w:r>
        <w:rPr>
          <w:rFonts w:hint="eastAsia"/>
          <w:sz w:val="24"/>
          <w:szCs w:val="24"/>
          <w:u w:val="single"/>
        </w:rPr>
        <w:t>广州市花都区花山镇两龙路38号之十五</w:t>
      </w:r>
      <w:r>
        <w:rPr>
          <w:sz w:val="24"/>
          <w:szCs w:val="24"/>
        </w:rPr>
        <w:t xml:space="preserve"> </w:t>
      </w:r>
    </w:p>
    <w:p>
      <w:pPr>
        <w:widowControl/>
        <w:spacing w:line="336" w:lineRule="auto"/>
        <w:jc w:val="left"/>
      </w:pPr>
      <w:r>
        <w:rPr>
          <w:sz w:val="24"/>
          <w:szCs w:val="24"/>
        </w:rPr>
        <w:t>联 系 人：</w:t>
      </w:r>
      <w:r>
        <w:rPr>
          <w:rFonts w:hint="eastAsia"/>
          <w:sz w:val="24"/>
          <w:szCs w:val="24"/>
          <w:u w:val="single"/>
        </w:rPr>
        <w:t>江</w:t>
      </w:r>
      <w:r>
        <w:rPr>
          <w:sz w:val="24"/>
          <w:szCs w:val="24"/>
          <w:u w:val="single"/>
        </w:rPr>
        <w:t>工</w:t>
      </w:r>
      <w:r>
        <w:rPr>
          <w:sz w:val="24"/>
          <w:szCs w:val="24"/>
        </w:rPr>
        <w:t xml:space="preserve">         电    话：</w:t>
      </w:r>
      <w:r>
        <w:rPr>
          <w:sz w:val="24"/>
          <w:szCs w:val="24"/>
          <w:u w:val="single"/>
        </w:rPr>
        <w:t>020-86895146</w:t>
      </w:r>
    </w:p>
    <w:p>
      <w:pPr>
        <w:spacing w:line="336" w:lineRule="auto"/>
        <w:ind w:left="6516" w:hanging="6516" w:hangingChars="2715"/>
        <w:rPr>
          <w:sz w:val="24"/>
          <w:szCs w:val="24"/>
          <w:u w:val="single"/>
        </w:rPr>
      </w:pPr>
    </w:p>
    <w:p>
      <w:pPr>
        <w:topLinePunct/>
        <w:spacing w:line="336" w:lineRule="auto"/>
        <w:ind w:left="6115" w:hanging="6115" w:hangingChars="2548"/>
        <w:rPr>
          <w:sz w:val="24"/>
          <w:szCs w:val="24"/>
        </w:rPr>
      </w:pPr>
      <w:r>
        <w:rPr>
          <w:sz w:val="24"/>
          <w:szCs w:val="24"/>
        </w:rPr>
        <w:t>招标代理机构：</w:t>
      </w:r>
      <w:r>
        <w:rPr>
          <w:rFonts w:hint="eastAsia"/>
          <w:sz w:val="24"/>
          <w:szCs w:val="24"/>
          <w:u w:val="single"/>
        </w:rPr>
        <w:t>成致项目管理有限公司</w:t>
      </w:r>
    </w:p>
    <w:p>
      <w:pPr>
        <w:topLinePunct/>
        <w:spacing w:line="336" w:lineRule="auto"/>
        <w:ind w:left="6115" w:hanging="6115" w:hangingChars="2548"/>
        <w:rPr>
          <w:sz w:val="24"/>
          <w:szCs w:val="24"/>
        </w:rPr>
      </w:pPr>
      <w:r>
        <w:rPr>
          <w:sz w:val="24"/>
          <w:szCs w:val="24"/>
        </w:rPr>
        <w:t>地    址：</w:t>
      </w:r>
      <w:r>
        <w:rPr>
          <w:rFonts w:hint="eastAsia"/>
          <w:sz w:val="24"/>
          <w:szCs w:val="24"/>
          <w:u w:val="single"/>
        </w:rPr>
        <w:t>广州市天河区黄埔大道中122号伟腾商务中心412房</w:t>
      </w:r>
    </w:p>
    <w:p>
      <w:pPr>
        <w:shd w:val="clear" w:color="auto" w:fill="FFFFFF"/>
        <w:adjustRightInd w:val="0"/>
        <w:snapToGrid w:val="0"/>
        <w:spacing w:line="336" w:lineRule="auto"/>
        <w:ind w:left="6516" w:hanging="6516" w:hangingChars="2715"/>
        <w:rPr>
          <w:sz w:val="24"/>
          <w:szCs w:val="24"/>
        </w:rPr>
      </w:pPr>
      <w:r>
        <w:rPr>
          <w:sz w:val="24"/>
          <w:szCs w:val="24"/>
        </w:rPr>
        <w:t>联 系 人：</w:t>
      </w:r>
      <w:r>
        <w:rPr>
          <w:rFonts w:hint="eastAsia"/>
          <w:sz w:val="24"/>
          <w:szCs w:val="24"/>
          <w:u w:val="single"/>
        </w:rPr>
        <w:t>王工</w:t>
      </w:r>
      <w:r>
        <w:rPr>
          <w:sz w:val="24"/>
          <w:szCs w:val="24"/>
        </w:rPr>
        <w:t xml:space="preserve">           </w:t>
      </w:r>
      <w:bookmarkStart w:id="7" w:name="_Toc352691454"/>
      <w:bookmarkStart w:id="8" w:name="_Toc3520"/>
      <w:bookmarkStart w:id="9" w:name="_Toc361508561"/>
      <w:bookmarkStart w:id="10" w:name="_Toc300834928"/>
      <w:bookmarkStart w:id="11" w:name="_Toc384308186"/>
      <w:bookmarkStart w:id="12" w:name="_Toc247527534"/>
      <w:bookmarkStart w:id="13" w:name="_Toc369531496"/>
      <w:bookmarkStart w:id="14" w:name="_Toc247513933"/>
      <w:r>
        <w:rPr>
          <w:sz w:val="24"/>
          <w:szCs w:val="24"/>
        </w:rPr>
        <w:t xml:space="preserve"> 电</w:t>
      </w:r>
      <w:bookmarkEnd w:id="7"/>
      <w:bookmarkEnd w:id="8"/>
      <w:bookmarkEnd w:id="9"/>
      <w:bookmarkEnd w:id="10"/>
      <w:bookmarkEnd w:id="11"/>
      <w:bookmarkEnd w:id="12"/>
      <w:bookmarkEnd w:id="13"/>
      <w:bookmarkEnd w:id="14"/>
      <w:r>
        <w:rPr>
          <w:sz w:val="24"/>
          <w:szCs w:val="24"/>
        </w:rPr>
        <w:t xml:space="preserve">    话：</w:t>
      </w:r>
      <w:r>
        <w:rPr>
          <w:sz w:val="24"/>
          <w:szCs w:val="24"/>
          <w:u w:val="single"/>
        </w:rPr>
        <w:t>020</w:t>
      </w:r>
      <w:r>
        <w:rPr>
          <w:rFonts w:hint="eastAsia"/>
          <w:sz w:val="24"/>
          <w:szCs w:val="24"/>
          <w:u w:val="single"/>
        </w:rPr>
        <w:t>-</w:t>
      </w:r>
      <w:r>
        <w:rPr>
          <w:sz w:val="24"/>
          <w:szCs w:val="24"/>
          <w:u w:val="single"/>
        </w:rPr>
        <w:t>87578511</w:t>
      </w:r>
      <w:r>
        <w:rPr>
          <w:sz w:val="24"/>
          <w:szCs w:val="24"/>
        </w:rPr>
        <w:t xml:space="preserve"> </w:t>
      </w:r>
    </w:p>
    <w:p>
      <w:pPr>
        <w:shd w:val="clear" w:color="auto" w:fill="FFFFFF"/>
        <w:adjustRightInd w:val="0"/>
        <w:snapToGrid w:val="0"/>
        <w:spacing w:line="336" w:lineRule="auto"/>
        <w:ind w:left="6516" w:hanging="6516" w:hangingChars="2715"/>
        <w:rPr>
          <w:sz w:val="24"/>
          <w:szCs w:val="24"/>
          <w:u w:val="single"/>
        </w:rPr>
      </w:pPr>
    </w:p>
    <w:p>
      <w:pPr>
        <w:spacing w:line="336" w:lineRule="auto"/>
        <w:rPr>
          <w:sz w:val="24"/>
          <w:szCs w:val="24"/>
          <w:u w:val="single"/>
        </w:rPr>
      </w:pPr>
      <w:r>
        <w:rPr>
          <w:sz w:val="24"/>
          <w:szCs w:val="24"/>
        </w:rPr>
        <w:t>异议受理部门：</w:t>
      </w:r>
      <w:r>
        <w:rPr>
          <w:rFonts w:hint="eastAsia"/>
          <w:sz w:val="24"/>
          <w:szCs w:val="24"/>
          <w:u w:val="single"/>
        </w:rPr>
        <w:t>广州市花都区恒裕房地产开发有限公司</w:t>
      </w:r>
    </w:p>
    <w:p>
      <w:pPr>
        <w:spacing w:line="336" w:lineRule="auto"/>
        <w:rPr>
          <w:sz w:val="24"/>
          <w:szCs w:val="24"/>
          <w:u w:val="single"/>
        </w:rPr>
      </w:pPr>
      <w:r>
        <w:rPr>
          <w:sz w:val="24"/>
          <w:szCs w:val="24"/>
        </w:rPr>
        <w:t>地    址：</w:t>
      </w:r>
      <w:r>
        <w:rPr>
          <w:rFonts w:hint="eastAsia"/>
          <w:sz w:val="24"/>
          <w:szCs w:val="24"/>
          <w:u w:val="single"/>
        </w:rPr>
        <w:t>广州市花都区花山镇两龙路38号之十五</w:t>
      </w:r>
    </w:p>
    <w:p>
      <w:pPr>
        <w:widowControl/>
        <w:spacing w:line="336" w:lineRule="auto"/>
        <w:jc w:val="left"/>
        <w:rPr>
          <w:sz w:val="24"/>
          <w:szCs w:val="24"/>
          <w:u w:val="single"/>
        </w:rPr>
      </w:pPr>
      <w:r>
        <w:rPr>
          <w:sz w:val="24"/>
          <w:szCs w:val="24"/>
        </w:rPr>
        <w:t>联 系 人：</w:t>
      </w:r>
      <w:r>
        <w:rPr>
          <w:rFonts w:hint="eastAsia"/>
          <w:sz w:val="24"/>
          <w:szCs w:val="24"/>
          <w:u w:val="single"/>
        </w:rPr>
        <w:t>江</w:t>
      </w:r>
      <w:r>
        <w:rPr>
          <w:sz w:val="24"/>
          <w:szCs w:val="24"/>
          <w:u w:val="single"/>
        </w:rPr>
        <w:t>工</w:t>
      </w:r>
      <w:r>
        <w:rPr>
          <w:sz w:val="24"/>
          <w:szCs w:val="24"/>
        </w:rPr>
        <w:t xml:space="preserve">         电    话：</w:t>
      </w:r>
      <w:r>
        <w:rPr>
          <w:sz w:val="24"/>
          <w:u w:val="single"/>
        </w:rPr>
        <w:t>020-86895146</w:t>
      </w:r>
    </w:p>
    <w:p/>
    <w:p/>
    <w:p/>
    <w:p/>
    <w:p/>
    <w:p/>
    <w:p/>
    <w:p/>
    <w:p/>
    <w:p/>
    <w:p/>
    <w:p/>
    <w:p/>
    <w:p/>
    <w:p/>
    <w:p/>
    <w:p/>
    <w:p>
      <w:pPr>
        <w:sectPr>
          <w:footerReference r:id="rId3" w:type="default"/>
          <w:pgSz w:w="11906" w:h="16838"/>
          <w:pgMar w:top="1440" w:right="1416" w:bottom="1440" w:left="1800" w:header="851" w:footer="992" w:gutter="0"/>
          <w:pgNumType w:fmt="decimal" w:start="1"/>
          <w:cols w:space="425" w:num="1"/>
          <w:docGrid w:type="lines" w:linePitch="312" w:charSpace="0"/>
        </w:sectPr>
      </w:pPr>
    </w:p>
    <w:p>
      <w:pPr>
        <w:snapToGrid w:val="0"/>
        <w:jc w:val="center"/>
        <w:rPr>
          <w:rFonts w:hint="eastAsia" w:ascii="宋体" w:hAnsi="宋体"/>
          <w:b/>
          <w:sz w:val="52"/>
          <w:szCs w:val="52"/>
        </w:rPr>
      </w:pPr>
      <w:r>
        <w:rPr>
          <w:rFonts w:hint="eastAsia" w:ascii="宋体" w:hAnsi="宋体"/>
          <w:b/>
          <w:sz w:val="52"/>
          <w:szCs w:val="52"/>
        </w:rPr>
        <w:t xml:space="preserve">招标文件售卖登记表       </w:t>
      </w:r>
    </w:p>
    <w:p>
      <w:pPr>
        <w:widowControl/>
        <w:snapToGrid w:val="0"/>
        <w:spacing w:before="156" w:beforeLines="50" w:after="156" w:afterLines="50"/>
        <w:jc w:val="left"/>
        <w:rPr>
          <w:rFonts w:hint="eastAsia" w:ascii="宋体" w:hAnsi="宋体"/>
          <w:sz w:val="28"/>
          <w:szCs w:val="28"/>
        </w:rPr>
      </w:pPr>
      <w:r>
        <w:rPr>
          <w:rFonts w:hint="eastAsia"/>
          <w:sz w:val="24"/>
        </w:rPr>
        <w:t xml:space="preserve">                      </w:t>
      </w:r>
      <w:r>
        <w:rPr>
          <w:rFonts w:hint="eastAsia" w:ascii="宋体" w:hAnsi="宋体"/>
          <w:sz w:val="28"/>
          <w:szCs w:val="28"/>
        </w:rPr>
        <w:t xml:space="preserve">                                             </w:t>
      </w:r>
      <w:r>
        <w:rPr>
          <w:rFonts w:ascii="宋体" w:hAnsi="宋体"/>
          <w:sz w:val="28"/>
          <w:szCs w:val="28"/>
        </w:rPr>
        <w:t xml:space="preserve">                    </w:t>
      </w:r>
      <w:r>
        <w:rPr>
          <w:rFonts w:hint="eastAsia" w:ascii="宋体" w:hAnsi="宋体"/>
          <w:sz w:val="28"/>
          <w:szCs w:val="28"/>
        </w:rPr>
        <w:t xml:space="preserve">  2025年</w:t>
      </w:r>
      <w:r>
        <w:rPr>
          <w:rFonts w:ascii="宋体" w:hAnsi="宋体"/>
          <w:sz w:val="28"/>
          <w:szCs w:val="28"/>
        </w:rPr>
        <w:t xml:space="preserve">  </w:t>
      </w:r>
      <w:r>
        <w:rPr>
          <w:rFonts w:hint="eastAsia" w:ascii="宋体" w:hAnsi="宋体"/>
          <w:sz w:val="28"/>
          <w:szCs w:val="28"/>
        </w:rPr>
        <w:t xml:space="preserve">月 </w:t>
      </w:r>
      <w:r>
        <w:rPr>
          <w:rFonts w:ascii="宋体" w:hAnsi="宋体"/>
          <w:sz w:val="28"/>
          <w:szCs w:val="28"/>
        </w:rPr>
        <w:t xml:space="preserve"> </w:t>
      </w:r>
      <w:r>
        <w:rPr>
          <w:rFonts w:hint="eastAsia" w:ascii="宋体" w:hAnsi="宋体"/>
          <w:sz w:val="28"/>
          <w:szCs w:val="28"/>
        </w:rPr>
        <w:t xml:space="preserve"> 日</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160"/>
        <w:gridCol w:w="3177"/>
        <w:gridCol w:w="2849"/>
        <w:gridCol w:w="2409"/>
        <w:gridCol w:w="3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2880" w:type="dxa"/>
            <w:gridSpan w:val="2"/>
            <w:vAlign w:val="center"/>
          </w:tcPr>
          <w:p>
            <w:pPr>
              <w:jc w:val="center"/>
              <w:rPr>
                <w:rFonts w:hint="eastAsia" w:ascii="宋体" w:hAnsi="宋体"/>
                <w:sz w:val="28"/>
                <w:szCs w:val="28"/>
              </w:rPr>
            </w:pPr>
            <w:r>
              <w:rPr>
                <w:rFonts w:hint="eastAsia" w:ascii="宋体" w:hAnsi="宋体"/>
                <w:sz w:val="28"/>
                <w:szCs w:val="28"/>
              </w:rPr>
              <w:t>项目名称</w:t>
            </w:r>
          </w:p>
        </w:tc>
        <w:tc>
          <w:tcPr>
            <w:tcW w:w="6026" w:type="dxa"/>
            <w:gridSpan w:val="2"/>
            <w:vAlign w:val="center"/>
          </w:tcPr>
          <w:p>
            <w:pPr>
              <w:tabs>
                <w:tab w:val="left" w:pos="180"/>
              </w:tabs>
              <w:spacing w:line="500" w:lineRule="exact"/>
              <w:jc w:val="center"/>
              <w:rPr>
                <w:rFonts w:hint="eastAsia" w:ascii="宋体" w:hAnsi="宋体"/>
                <w:sz w:val="28"/>
                <w:szCs w:val="28"/>
              </w:rPr>
            </w:pPr>
            <w:r>
              <w:rPr>
                <w:rFonts w:hint="eastAsia" w:ascii="宋体" w:hAnsi="宋体"/>
                <w:sz w:val="28"/>
                <w:szCs w:val="28"/>
              </w:rPr>
              <w:t>花都中轴线八地块一建设项目可售住宅物业渠道带客服务（2025年度）</w:t>
            </w:r>
          </w:p>
        </w:tc>
        <w:tc>
          <w:tcPr>
            <w:tcW w:w="2409" w:type="dxa"/>
            <w:vAlign w:val="center"/>
          </w:tcPr>
          <w:p>
            <w:pPr>
              <w:tabs>
                <w:tab w:val="left" w:pos="180"/>
              </w:tabs>
              <w:spacing w:line="500" w:lineRule="exact"/>
              <w:jc w:val="center"/>
              <w:rPr>
                <w:rFonts w:hint="eastAsia" w:ascii="宋体" w:hAnsi="宋体"/>
                <w:sz w:val="28"/>
                <w:szCs w:val="28"/>
              </w:rPr>
            </w:pPr>
            <w:r>
              <w:rPr>
                <w:rFonts w:hint="eastAsia" w:ascii="宋体" w:hAnsi="宋体"/>
                <w:sz w:val="28"/>
                <w:szCs w:val="28"/>
              </w:rPr>
              <w:t>项目编号</w:t>
            </w:r>
          </w:p>
        </w:tc>
        <w:tc>
          <w:tcPr>
            <w:tcW w:w="3091" w:type="dxa"/>
            <w:vAlign w:val="center"/>
          </w:tcPr>
          <w:p>
            <w:pPr>
              <w:tabs>
                <w:tab w:val="left" w:pos="180"/>
              </w:tabs>
              <w:spacing w:line="500" w:lineRule="exact"/>
              <w:jc w:val="center"/>
              <w:rPr>
                <w:rFonts w:hint="eastAsia" w:ascii="宋体" w:hAnsi="宋体"/>
                <w:sz w:val="28"/>
                <w:szCs w:val="28"/>
              </w:rPr>
            </w:pPr>
            <w:r>
              <w:rPr>
                <w:rFonts w:hint="eastAsia" w:ascii="宋体" w:hAnsi="宋体"/>
                <w:sz w:val="28"/>
                <w:szCs w:val="28"/>
              </w:rPr>
              <w:t>CZ2025-QDFW-0215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720" w:type="dxa"/>
            <w:vMerge w:val="restart"/>
            <w:vAlign w:val="center"/>
          </w:tcPr>
          <w:p>
            <w:pPr>
              <w:jc w:val="center"/>
              <w:rPr>
                <w:rFonts w:hint="eastAsia" w:ascii="宋体" w:hAnsi="宋体"/>
                <w:sz w:val="28"/>
                <w:szCs w:val="28"/>
              </w:rPr>
            </w:pPr>
            <w:r>
              <w:rPr>
                <w:rFonts w:hint="eastAsia" w:ascii="宋体" w:hAnsi="宋体"/>
                <w:sz w:val="28"/>
                <w:szCs w:val="28"/>
              </w:rPr>
              <w:t>投</w:t>
            </w:r>
          </w:p>
          <w:p>
            <w:pPr>
              <w:jc w:val="center"/>
              <w:rPr>
                <w:rFonts w:hint="eastAsia" w:ascii="宋体" w:hAnsi="宋体"/>
                <w:sz w:val="28"/>
                <w:szCs w:val="28"/>
              </w:rPr>
            </w:pPr>
            <w:r>
              <w:rPr>
                <w:rFonts w:hint="eastAsia" w:ascii="宋体" w:hAnsi="宋体"/>
                <w:sz w:val="28"/>
                <w:szCs w:val="28"/>
              </w:rPr>
              <w:t>标</w:t>
            </w:r>
          </w:p>
          <w:p>
            <w:pPr>
              <w:jc w:val="center"/>
              <w:rPr>
                <w:rFonts w:hint="eastAsia" w:ascii="宋体" w:hAnsi="宋体"/>
                <w:sz w:val="28"/>
                <w:szCs w:val="28"/>
              </w:rPr>
            </w:pPr>
            <w:r>
              <w:rPr>
                <w:rFonts w:hint="eastAsia" w:ascii="宋体" w:hAnsi="宋体"/>
                <w:sz w:val="28"/>
                <w:szCs w:val="28"/>
              </w:rPr>
              <w:t>人</w:t>
            </w:r>
          </w:p>
          <w:p>
            <w:pPr>
              <w:jc w:val="center"/>
              <w:rPr>
                <w:rFonts w:hint="eastAsia" w:ascii="宋体" w:hAnsi="宋体"/>
                <w:sz w:val="28"/>
                <w:szCs w:val="28"/>
              </w:rPr>
            </w:pPr>
            <w:r>
              <w:rPr>
                <w:rFonts w:hint="eastAsia" w:ascii="宋体" w:hAnsi="宋体"/>
                <w:sz w:val="28"/>
                <w:szCs w:val="28"/>
              </w:rPr>
              <w:t>资</w:t>
            </w:r>
          </w:p>
          <w:p>
            <w:pPr>
              <w:jc w:val="center"/>
              <w:rPr>
                <w:rFonts w:hint="eastAsia" w:ascii="宋体" w:hAnsi="宋体"/>
                <w:sz w:val="28"/>
                <w:szCs w:val="28"/>
              </w:rPr>
            </w:pPr>
            <w:r>
              <w:rPr>
                <w:rFonts w:hint="eastAsia" w:ascii="宋体" w:hAnsi="宋体"/>
                <w:sz w:val="28"/>
                <w:szCs w:val="28"/>
              </w:rPr>
              <w:t>料</w:t>
            </w:r>
          </w:p>
        </w:tc>
        <w:tc>
          <w:tcPr>
            <w:tcW w:w="2160" w:type="dxa"/>
            <w:vAlign w:val="center"/>
          </w:tcPr>
          <w:p>
            <w:pPr>
              <w:jc w:val="center"/>
              <w:rPr>
                <w:rFonts w:hint="eastAsia" w:ascii="宋体" w:hAnsi="宋体"/>
                <w:sz w:val="28"/>
                <w:szCs w:val="28"/>
              </w:rPr>
            </w:pPr>
            <w:r>
              <w:rPr>
                <w:rFonts w:hint="eastAsia" w:ascii="宋体" w:hAnsi="宋体"/>
                <w:sz w:val="28"/>
                <w:szCs w:val="28"/>
              </w:rPr>
              <w:t>投标单位名称</w:t>
            </w:r>
          </w:p>
        </w:tc>
        <w:tc>
          <w:tcPr>
            <w:tcW w:w="6026" w:type="dxa"/>
            <w:gridSpan w:val="2"/>
            <w:vAlign w:val="center"/>
          </w:tcPr>
          <w:p>
            <w:pPr>
              <w:jc w:val="center"/>
              <w:rPr>
                <w:rFonts w:hint="eastAsia" w:ascii="宋体" w:hAnsi="宋体"/>
                <w:sz w:val="28"/>
                <w:szCs w:val="28"/>
              </w:rPr>
            </w:pPr>
            <w:r>
              <w:rPr>
                <w:rFonts w:hint="eastAsia" w:ascii="宋体" w:hAnsi="宋体"/>
                <w:sz w:val="28"/>
                <w:szCs w:val="28"/>
              </w:rPr>
              <w:t xml:space="preserve"> </w:t>
            </w:r>
          </w:p>
        </w:tc>
        <w:tc>
          <w:tcPr>
            <w:tcW w:w="2409" w:type="dxa"/>
            <w:vAlign w:val="center"/>
          </w:tcPr>
          <w:p>
            <w:pPr>
              <w:jc w:val="center"/>
              <w:rPr>
                <w:rFonts w:hint="eastAsia" w:ascii="宋体" w:hAnsi="宋体"/>
                <w:sz w:val="28"/>
                <w:szCs w:val="28"/>
              </w:rPr>
            </w:pPr>
            <w:r>
              <w:rPr>
                <w:rFonts w:hint="eastAsia" w:ascii="宋体" w:hAnsi="宋体"/>
                <w:sz w:val="28"/>
                <w:szCs w:val="28"/>
              </w:rPr>
              <w:t>文件价格（元）</w:t>
            </w:r>
          </w:p>
        </w:tc>
        <w:tc>
          <w:tcPr>
            <w:tcW w:w="3091" w:type="dxa"/>
            <w:vAlign w:val="center"/>
          </w:tcPr>
          <w:p>
            <w:pPr>
              <w:jc w:val="center"/>
              <w:rPr>
                <w:rFonts w:hint="eastAsia" w:ascii="宋体" w:hAnsi="宋体"/>
                <w:sz w:val="28"/>
                <w:szCs w:val="28"/>
              </w:rPr>
            </w:pPr>
            <w:r>
              <w:rPr>
                <w:rFonts w:ascii="宋体" w:hAnsi="宋体"/>
                <w:sz w:val="28"/>
                <w:szCs w:val="28"/>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jc w:val="center"/>
        </w:trPr>
        <w:tc>
          <w:tcPr>
            <w:tcW w:w="720" w:type="dxa"/>
            <w:vMerge w:val="continue"/>
            <w:vAlign w:val="center"/>
          </w:tcPr>
          <w:p>
            <w:pPr>
              <w:jc w:val="center"/>
              <w:rPr>
                <w:rFonts w:hint="eastAsia" w:ascii="宋体" w:hAnsi="宋体"/>
                <w:sz w:val="28"/>
                <w:szCs w:val="28"/>
              </w:rPr>
            </w:pPr>
          </w:p>
        </w:tc>
        <w:tc>
          <w:tcPr>
            <w:tcW w:w="2160" w:type="dxa"/>
            <w:vAlign w:val="center"/>
          </w:tcPr>
          <w:p>
            <w:pPr>
              <w:jc w:val="center"/>
              <w:rPr>
                <w:rFonts w:hint="eastAsia" w:ascii="宋体" w:hAnsi="宋体"/>
                <w:sz w:val="28"/>
                <w:szCs w:val="28"/>
              </w:rPr>
            </w:pPr>
            <w:r>
              <w:rPr>
                <w:rFonts w:hint="eastAsia" w:ascii="宋体" w:hAnsi="宋体"/>
                <w:sz w:val="28"/>
                <w:szCs w:val="28"/>
              </w:rPr>
              <w:t>地址</w:t>
            </w:r>
          </w:p>
        </w:tc>
        <w:tc>
          <w:tcPr>
            <w:tcW w:w="11526" w:type="dxa"/>
            <w:gridSpan w:val="4"/>
            <w:vAlign w:val="center"/>
          </w:tcPr>
          <w:p>
            <w:pPr>
              <w:jc w:val="center"/>
              <w:rPr>
                <w:rFonts w:hint="eastAsia" w:ascii="宋体" w:hAnsi="宋体"/>
                <w:sz w:val="28"/>
                <w:szCs w:val="28"/>
              </w:rPr>
            </w:pPr>
            <w:r>
              <w:rPr>
                <w:rFonts w:hint="eastAsia" w:ascii="宋体" w:hAnsi="宋体"/>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20" w:type="dxa"/>
            <w:vMerge w:val="continue"/>
            <w:vAlign w:val="center"/>
          </w:tcPr>
          <w:p>
            <w:pPr>
              <w:jc w:val="center"/>
              <w:rPr>
                <w:rFonts w:hint="eastAsia" w:ascii="宋体" w:hAnsi="宋体"/>
                <w:sz w:val="28"/>
                <w:szCs w:val="28"/>
              </w:rPr>
            </w:pPr>
          </w:p>
        </w:tc>
        <w:tc>
          <w:tcPr>
            <w:tcW w:w="2160" w:type="dxa"/>
            <w:vMerge w:val="restart"/>
            <w:vAlign w:val="center"/>
          </w:tcPr>
          <w:p>
            <w:pPr>
              <w:jc w:val="center"/>
              <w:rPr>
                <w:rFonts w:hint="eastAsia" w:ascii="宋体" w:hAnsi="宋体"/>
                <w:sz w:val="28"/>
                <w:szCs w:val="28"/>
              </w:rPr>
            </w:pPr>
            <w:r>
              <w:rPr>
                <w:rFonts w:hint="eastAsia" w:ascii="宋体" w:hAnsi="宋体"/>
                <w:sz w:val="28"/>
                <w:szCs w:val="28"/>
              </w:rPr>
              <w:t>联系人</w:t>
            </w:r>
          </w:p>
          <w:p>
            <w:pPr>
              <w:jc w:val="center"/>
              <w:rPr>
                <w:rFonts w:hint="eastAsia" w:ascii="宋体" w:hAnsi="宋体"/>
                <w:sz w:val="28"/>
                <w:szCs w:val="28"/>
              </w:rPr>
            </w:pPr>
          </w:p>
        </w:tc>
        <w:tc>
          <w:tcPr>
            <w:tcW w:w="3177" w:type="dxa"/>
            <w:vAlign w:val="center"/>
          </w:tcPr>
          <w:p>
            <w:pPr>
              <w:jc w:val="center"/>
              <w:rPr>
                <w:rFonts w:hint="eastAsia" w:ascii="宋体" w:hAnsi="宋体"/>
                <w:sz w:val="28"/>
                <w:szCs w:val="28"/>
              </w:rPr>
            </w:pPr>
            <w:r>
              <w:rPr>
                <w:rFonts w:hint="eastAsia" w:ascii="宋体" w:hAnsi="宋体"/>
                <w:sz w:val="28"/>
                <w:szCs w:val="28"/>
              </w:rPr>
              <w:t>姓名</w:t>
            </w:r>
          </w:p>
        </w:tc>
        <w:tc>
          <w:tcPr>
            <w:tcW w:w="2849" w:type="dxa"/>
            <w:vAlign w:val="center"/>
          </w:tcPr>
          <w:p>
            <w:pPr>
              <w:jc w:val="center"/>
              <w:rPr>
                <w:rFonts w:hint="eastAsia" w:ascii="宋体" w:hAnsi="宋体"/>
                <w:sz w:val="28"/>
                <w:szCs w:val="28"/>
              </w:rPr>
            </w:pPr>
            <w:r>
              <w:rPr>
                <w:rFonts w:hint="eastAsia" w:ascii="宋体" w:hAnsi="宋体"/>
                <w:sz w:val="28"/>
                <w:szCs w:val="28"/>
              </w:rPr>
              <w:t>固定电话</w:t>
            </w:r>
          </w:p>
        </w:tc>
        <w:tc>
          <w:tcPr>
            <w:tcW w:w="2409" w:type="dxa"/>
            <w:vAlign w:val="center"/>
          </w:tcPr>
          <w:p>
            <w:pPr>
              <w:jc w:val="center"/>
              <w:rPr>
                <w:rFonts w:hint="eastAsia" w:ascii="宋体" w:hAnsi="宋体"/>
                <w:sz w:val="28"/>
                <w:szCs w:val="28"/>
              </w:rPr>
            </w:pPr>
            <w:r>
              <w:rPr>
                <w:rFonts w:hint="eastAsia" w:ascii="宋体" w:hAnsi="宋体"/>
                <w:sz w:val="28"/>
                <w:szCs w:val="28"/>
              </w:rPr>
              <w:t>手机</w:t>
            </w:r>
          </w:p>
        </w:tc>
        <w:tc>
          <w:tcPr>
            <w:tcW w:w="3091" w:type="dxa"/>
            <w:vAlign w:val="center"/>
          </w:tcPr>
          <w:p>
            <w:pPr>
              <w:jc w:val="center"/>
              <w:rPr>
                <w:rFonts w:hint="eastAsia" w:ascii="宋体" w:hAnsi="宋体"/>
                <w:sz w:val="28"/>
                <w:szCs w:val="28"/>
              </w:rPr>
            </w:pPr>
            <w:r>
              <w:rPr>
                <w:rFonts w:hint="eastAsia" w:ascii="宋体" w:hAnsi="宋体"/>
                <w:sz w:val="28"/>
                <w:szCs w:val="28"/>
              </w:rPr>
              <w:t>邮箱（E-mail）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720" w:type="dxa"/>
            <w:vMerge w:val="continue"/>
            <w:vAlign w:val="center"/>
          </w:tcPr>
          <w:p>
            <w:pPr>
              <w:jc w:val="center"/>
              <w:rPr>
                <w:rFonts w:hint="eastAsia" w:ascii="宋体" w:hAnsi="宋体"/>
                <w:sz w:val="28"/>
                <w:szCs w:val="28"/>
              </w:rPr>
            </w:pPr>
          </w:p>
        </w:tc>
        <w:tc>
          <w:tcPr>
            <w:tcW w:w="2160" w:type="dxa"/>
            <w:vMerge w:val="continue"/>
            <w:vAlign w:val="center"/>
          </w:tcPr>
          <w:p>
            <w:pPr>
              <w:jc w:val="center"/>
              <w:rPr>
                <w:rFonts w:hint="eastAsia" w:ascii="宋体" w:hAnsi="宋体"/>
                <w:sz w:val="28"/>
                <w:szCs w:val="28"/>
              </w:rPr>
            </w:pPr>
          </w:p>
        </w:tc>
        <w:tc>
          <w:tcPr>
            <w:tcW w:w="3177" w:type="dxa"/>
            <w:vAlign w:val="center"/>
          </w:tcPr>
          <w:p>
            <w:pPr>
              <w:jc w:val="center"/>
              <w:rPr>
                <w:rFonts w:hint="eastAsia" w:ascii="宋体" w:hAnsi="宋体"/>
                <w:sz w:val="28"/>
                <w:szCs w:val="28"/>
              </w:rPr>
            </w:pPr>
          </w:p>
        </w:tc>
        <w:tc>
          <w:tcPr>
            <w:tcW w:w="2849" w:type="dxa"/>
            <w:vAlign w:val="center"/>
          </w:tcPr>
          <w:p>
            <w:pPr>
              <w:jc w:val="center"/>
              <w:rPr>
                <w:rFonts w:hint="eastAsia" w:ascii="宋体" w:hAnsi="宋体"/>
                <w:sz w:val="28"/>
                <w:szCs w:val="28"/>
              </w:rPr>
            </w:pPr>
          </w:p>
        </w:tc>
        <w:tc>
          <w:tcPr>
            <w:tcW w:w="2409" w:type="dxa"/>
            <w:vAlign w:val="center"/>
          </w:tcPr>
          <w:p>
            <w:pPr>
              <w:jc w:val="center"/>
              <w:rPr>
                <w:rFonts w:hint="eastAsia" w:ascii="宋体" w:hAnsi="宋体"/>
                <w:sz w:val="28"/>
                <w:szCs w:val="28"/>
              </w:rPr>
            </w:pPr>
          </w:p>
        </w:tc>
        <w:tc>
          <w:tcPr>
            <w:tcW w:w="3091" w:type="dxa"/>
            <w:vAlign w:val="center"/>
          </w:tcPr>
          <w:p>
            <w:pPr>
              <w:jc w:val="center"/>
              <w:rPr>
                <w:rFonts w:hint="eastAsia"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5" w:hRule="atLeast"/>
          <w:jc w:val="center"/>
        </w:trPr>
        <w:tc>
          <w:tcPr>
            <w:tcW w:w="720" w:type="dxa"/>
            <w:vAlign w:val="center"/>
          </w:tcPr>
          <w:p>
            <w:pPr>
              <w:jc w:val="center"/>
              <w:rPr>
                <w:rFonts w:hint="eastAsia" w:ascii="宋体" w:hAnsi="宋体"/>
                <w:sz w:val="28"/>
                <w:szCs w:val="28"/>
              </w:rPr>
            </w:pPr>
            <w:r>
              <w:rPr>
                <w:rFonts w:hint="eastAsia" w:ascii="宋体" w:hAnsi="宋体"/>
                <w:sz w:val="28"/>
                <w:szCs w:val="28"/>
              </w:rPr>
              <w:t>备注</w:t>
            </w:r>
          </w:p>
        </w:tc>
        <w:tc>
          <w:tcPr>
            <w:tcW w:w="13686" w:type="dxa"/>
            <w:gridSpan w:val="5"/>
          </w:tcPr>
          <w:p>
            <w:pPr>
              <w:rPr>
                <w:rFonts w:hint="eastAsia" w:ascii="宋体" w:hAnsi="宋体"/>
                <w:sz w:val="28"/>
                <w:szCs w:val="28"/>
              </w:rPr>
            </w:pPr>
            <w:r>
              <w:rPr>
                <w:rFonts w:hint="eastAsia" w:ascii="宋体" w:hAnsi="宋体"/>
                <w:sz w:val="28"/>
                <w:szCs w:val="28"/>
              </w:rPr>
              <w:t xml:space="preserve"> </w:t>
            </w:r>
            <w:bookmarkStart w:id="15" w:name="_GoBack"/>
            <w:bookmarkEnd w:id="15"/>
          </w:p>
        </w:tc>
      </w:tr>
    </w:tbl>
    <w:p/>
    <w:p>
      <w:pPr>
        <w:tabs>
          <w:tab w:val="left" w:pos="9662"/>
        </w:tabs>
        <w:rPr>
          <w:rFonts w:hint="eastAsia"/>
        </w:rPr>
      </w:pPr>
      <w:r>
        <w:rPr>
          <w:rFonts w:hint="eastAsia"/>
          <w:lang w:eastAsia="zh-CN"/>
        </w:rPr>
        <w:tab/>
      </w:r>
    </w:p>
    <w:sectPr>
      <w:pgSz w:w="16838" w:h="11906" w:orient="landscape"/>
      <w:pgMar w:top="1134" w:right="1134" w:bottom="1134" w:left="1134" w:header="851" w:footer="992" w:gutter="0"/>
      <w:pgNumType w:fmt="decimal"/>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36"/>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4"/>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c3M2Y5NzIzMDFlZjAyY2Q4Njk5ODkyYjFjNzBiNTQifQ=="/>
  </w:docVars>
  <w:rsids>
    <w:rsidRoot w:val="00DB1949"/>
    <w:rsid w:val="00024B11"/>
    <w:rsid w:val="00032C0A"/>
    <w:rsid w:val="000440B5"/>
    <w:rsid w:val="001129F1"/>
    <w:rsid w:val="00114086"/>
    <w:rsid w:val="00163446"/>
    <w:rsid w:val="001B4F42"/>
    <w:rsid w:val="001D2E13"/>
    <w:rsid w:val="001F778A"/>
    <w:rsid w:val="00204707"/>
    <w:rsid w:val="00261F8B"/>
    <w:rsid w:val="00287D87"/>
    <w:rsid w:val="002A30A7"/>
    <w:rsid w:val="002B2DB9"/>
    <w:rsid w:val="002D039C"/>
    <w:rsid w:val="003561F3"/>
    <w:rsid w:val="003D27B7"/>
    <w:rsid w:val="004573BC"/>
    <w:rsid w:val="0047540A"/>
    <w:rsid w:val="00483882"/>
    <w:rsid w:val="005575AD"/>
    <w:rsid w:val="005905F1"/>
    <w:rsid w:val="005B595F"/>
    <w:rsid w:val="006678C9"/>
    <w:rsid w:val="00676A70"/>
    <w:rsid w:val="0068781B"/>
    <w:rsid w:val="006B6BB3"/>
    <w:rsid w:val="007143D1"/>
    <w:rsid w:val="007738C5"/>
    <w:rsid w:val="00785062"/>
    <w:rsid w:val="007D3DAF"/>
    <w:rsid w:val="008820AE"/>
    <w:rsid w:val="008D26F4"/>
    <w:rsid w:val="0099026D"/>
    <w:rsid w:val="009C1C00"/>
    <w:rsid w:val="009E68C1"/>
    <w:rsid w:val="009F43D4"/>
    <w:rsid w:val="00A15C89"/>
    <w:rsid w:val="00A3400B"/>
    <w:rsid w:val="00AF7EF0"/>
    <w:rsid w:val="00B0006C"/>
    <w:rsid w:val="00BB4853"/>
    <w:rsid w:val="00BD36EE"/>
    <w:rsid w:val="00C36D76"/>
    <w:rsid w:val="00C371A6"/>
    <w:rsid w:val="00C40598"/>
    <w:rsid w:val="00C53E66"/>
    <w:rsid w:val="00C66F64"/>
    <w:rsid w:val="00C84BDC"/>
    <w:rsid w:val="00C92F9B"/>
    <w:rsid w:val="00CD66CD"/>
    <w:rsid w:val="00CE2C43"/>
    <w:rsid w:val="00D056B0"/>
    <w:rsid w:val="00D10E07"/>
    <w:rsid w:val="00D118D0"/>
    <w:rsid w:val="00DB1949"/>
    <w:rsid w:val="00DB4831"/>
    <w:rsid w:val="00ED04B5"/>
    <w:rsid w:val="00ED1F72"/>
    <w:rsid w:val="00F02A61"/>
    <w:rsid w:val="00F4354B"/>
    <w:rsid w:val="00F45306"/>
    <w:rsid w:val="00F71CAE"/>
    <w:rsid w:val="00FD7F85"/>
    <w:rsid w:val="00FF50E4"/>
    <w:rsid w:val="12EE07B2"/>
    <w:rsid w:val="155464F9"/>
    <w:rsid w:val="18F6350D"/>
    <w:rsid w:val="1C3774A1"/>
    <w:rsid w:val="27AA254D"/>
    <w:rsid w:val="29DE6FBD"/>
    <w:rsid w:val="3DAC214A"/>
    <w:rsid w:val="5BED3C02"/>
    <w:rsid w:val="5F99357C"/>
    <w:rsid w:val="63563BB4"/>
    <w:rsid w:val="65A57CA8"/>
    <w:rsid w:val="688C7057"/>
    <w:rsid w:val="7DF513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Body Text"/>
    <w:basedOn w:val="1"/>
    <w:link w:val="15"/>
    <w:semiHidden/>
    <w:unhideWhenUsed/>
    <w:qFormat/>
    <w:uiPriority w:val="99"/>
    <w:pPr>
      <w:spacing w:after="120"/>
    </w:pPr>
  </w:style>
  <w:style w:type="paragraph" w:styleId="3">
    <w:name w:val="Plain Text"/>
    <w:basedOn w:val="1"/>
    <w:next w:val="1"/>
    <w:link w:val="14"/>
    <w:qFormat/>
    <w:uiPriority w:val="0"/>
    <w:rPr>
      <w:rFonts w:ascii="宋体"/>
    </w:rPr>
  </w:style>
  <w:style w:type="paragraph" w:styleId="4">
    <w:name w:val="footer"/>
    <w:basedOn w:val="1"/>
    <w:link w:val="12"/>
    <w:autoRedefine/>
    <w:unhideWhenUsed/>
    <w:qFormat/>
    <w:uiPriority w:val="99"/>
    <w:pPr>
      <w:tabs>
        <w:tab w:val="center" w:pos="4153"/>
        <w:tab w:val="right" w:pos="8306"/>
      </w:tabs>
      <w:snapToGrid w:val="0"/>
      <w:jc w:val="center"/>
    </w:pPr>
    <w:rPr>
      <w:rFonts w:ascii="宋体" w:hAnsi="宋体" w:cstheme="minorBidi"/>
      <w:b/>
      <w:bCs/>
      <w:sz w:val="36"/>
      <w:szCs w:val="36"/>
      <w14:ligatures w14:val="standardContextual"/>
    </w:rPr>
  </w:style>
  <w:style w:type="paragraph" w:styleId="5">
    <w:name w:val="header"/>
    <w:basedOn w:val="1"/>
    <w:link w:val="11"/>
    <w:autoRedefine/>
    <w:unhideWhenUsed/>
    <w:qFormat/>
    <w:uiPriority w:val="99"/>
    <w:pPr>
      <w:tabs>
        <w:tab w:val="center" w:pos="4153"/>
        <w:tab w:val="right" w:pos="8306"/>
      </w:tabs>
      <w:snapToGrid w:val="0"/>
      <w:jc w:val="center"/>
    </w:pPr>
    <w:rPr>
      <w:rFonts w:asciiTheme="minorHAnsi" w:hAnsiTheme="minorHAnsi" w:eastAsiaTheme="minorEastAsia" w:cstheme="minorBidi"/>
      <w:sz w:val="18"/>
      <w:szCs w:val="18"/>
      <w14:ligatures w14:val="standardContextual"/>
    </w:rPr>
  </w:style>
  <w:style w:type="paragraph" w:styleId="6">
    <w:name w:val="Normal (Web)"/>
    <w:basedOn w:val="1"/>
    <w:autoRedefine/>
    <w:qFormat/>
    <w:uiPriority w:val="0"/>
    <w:pPr>
      <w:widowControl/>
      <w:spacing w:before="100" w:beforeAutospacing="1" w:after="100" w:afterAutospacing="1"/>
      <w:jc w:val="left"/>
    </w:pPr>
    <w:rPr>
      <w:rFonts w:ascii="宋体" w:hAnsi="宋体" w:cs="宋体"/>
      <w:color w:val="000000"/>
      <w:kern w:val="0"/>
      <w:sz w:val="24"/>
      <w:szCs w:val="20"/>
    </w:rPr>
  </w:style>
  <w:style w:type="paragraph" w:styleId="7">
    <w:name w:val="Body Text First Indent"/>
    <w:basedOn w:val="2"/>
    <w:link w:val="16"/>
    <w:qFormat/>
    <w:uiPriority w:val="0"/>
    <w:pPr>
      <w:spacing w:line="312" w:lineRule="auto"/>
      <w:ind w:firstLine="420"/>
    </w:pPr>
    <w:rPr>
      <w:szCs w:val="24"/>
    </w:rPr>
  </w:style>
  <w:style w:type="character" w:styleId="10">
    <w:name w:val="Emphasis"/>
    <w:qFormat/>
    <w:uiPriority w:val="0"/>
    <w:rPr>
      <w:i/>
    </w:rPr>
  </w:style>
  <w:style w:type="character" w:customStyle="1" w:styleId="11">
    <w:name w:val="页眉 字符"/>
    <w:basedOn w:val="9"/>
    <w:link w:val="5"/>
    <w:autoRedefine/>
    <w:qFormat/>
    <w:uiPriority w:val="99"/>
    <w:rPr>
      <w:sz w:val="18"/>
      <w:szCs w:val="18"/>
    </w:rPr>
  </w:style>
  <w:style w:type="character" w:customStyle="1" w:styleId="12">
    <w:name w:val="页脚 字符"/>
    <w:basedOn w:val="9"/>
    <w:link w:val="4"/>
    <w:autoRedefine/>
    <w:qFormat/>
    <w:uiPriority w:val="99"/>
    <w:rPr>
      <w:rFonts w:ascii="宋体" w:hAnsi="宋体" w:eastAsia="宋体"/>
      <w:b/>
      <w:bCs/>
      <w:kern w:val="2"/>
      <w:sz w:val="36"/>
      <w:szCs w:val="36"/>
      <w14:ligatures w14:val="standardContextual"/>
    </w:rPr>
  </w:style>
  <w:style w:type="paragraph" w:customStyle="1" w:styleId="13">
    <w:name w:val="Default"/>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4">
    <w:name w:val="纯文本 字符"/>
    <w:basedOn w:val="9"/>
    <w:link w:val="3"/>
    <w:autoRedefine/>
    <w:qFormat/>
    <w:uiPriority w:val="0"/>
    <w:rPr>
      <w:rFonts w:ascii="宋体" w:hAnsi="Times New Roman" w:eastAsia="宋体" w:cs="Times New Roman"/>
      <w:kern w:val="2"/>
      <w:sz w:val="21"/>
      <w:szCs w:val="22"/>
    </w:rPr>
  </w:style>
  <w:style w:type="character" w:customStyle="1" w:styleId="15">
    <w:name w:val="正文文本 字符"/>
    <w:basedOn w:val="9"/>
    <w:link w:val="2"/>
    <w:semiHidden/>
    <w:qFormat/>
    <w:uiPriority w:val="99"/>
    <w:rPr>
      <w:rFonts w:ascii="Times New Roman" w:hAnsi="Times New Roman" w:eastAsia="宋体" w:cs="Times New Roman"/>
      <w:kern w:val="2"/>
      <w:sz w:val="21"/>
      <w:szCs w:val="22"/>
    </w:rPr>
  </w:style>
  <w:style w:type="character" w:customStyle="1" w:styleId="16">
    <w:name w:val="正文文本首行缩进 字符"/>
    <w:basedOn w:val="15"/>
    <w:link w:val="7"/>
    <w:autoRedefine/>
    <w:qFormat/>
    <w:uiPriority w:val="0"/>
    <w:rPr>
      <w:rFonts w:ascii="Times New Roman" w:hAnsi="Times New Roman" w:eastAsia="宋体" w:cs="Times New Roman"/>
      <w:kern w:val="2"/>
      <w:sz w:val="21"/>
      <w:szCs w:val="24"/>
    </w:rPr>
  </w:style>
  <w:style w:type="paragraph" w:customStyle="1" w:styleId="17">
    <w:name w:val="Revision"/>
    <w:hidden/>
    <w:unhideWhenUsed/>
    <w:uiPriority w:val="99"/>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512</Words>
  <Characters>2921</Characters>
  <DocSecurity>0</DocSecurity>
  <Lines>24</Lines>
  <Paragraphs>6</Paragraphs>
  <ScaleCrop>false</ScaleCrop>
  <LinksUpToDate>false</LinksUpToDate>
  <CharactersWithSpaces>3427</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2024-12-03T07:22:00Z</cp:lastPrinted>
  <dcterms:created xsi:type="dcterms:W3CDTF">2024-11-12T10:06:00Z</dcterms:created>
  <dcterms:modified xsi:type="dcterms:W3CDTF">2025-02-24T14:36:25Z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2052-12.1.0.16704</vt:lpwstr>
  </property>
  <property fmtid="{D5CDD505-2E9C-101B-9397-08002B2CF9AE}" pid="3" name="ICV">
    <vt:lpwstr>F959F30C92624A8F82AD5F89630B2429_13</vt:lpwstr>
  </property>
</Properties>
</file>